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26" w:name="X93bf76d3bf97f9ee82c9f3a86eda09c973a4d71"/>
    <w:p>
      <w:pPr>
        <w:pStyle w:val="Heading1"/>
      </w:pPr>
      <w:r>
        <w:t xml:space="preserve">Buying and Selling Platinum: A 25-Year Market Outlook, 2026-2051</w:t>
      </w:r>
    </w:p>
    <w:p>
      <w:pPr>
        <w:pStyle w:val="FirstParagraph"/>
      </w:pPr>
      <w:r>
        <w:rPr>
          <w:i/>
          <w:iCs/>
        </w:rPr>
        <w:t xml:space="preserve">How electric vehicles, hybrids, hydrogen, industrial catalysts, jewelry, recycling, mine concentration, and financial markets may change platinum commerce between August 24, 2026 and August 24, 2051</w:t>
      </w:r>
    </w:p>
    <w:p>
      <w:pPr>
        <w:pStyle w:val="BodyText"/>
      </w:pPr>
      <w:r>
        <w:rPr>
          <w:b/>
          <w:bCs/>
        </w:rPr>
        <w:t xml:space="preserve">By the All Metal Prices Research Desk. Published and last reviewed August 24, 2026.</w:t>
      </w:r>
    </w:p>
    <w:p>
      <w:pPr>
        <w:pStyle w:val="BodyText"/>
      </w:pPr>
      <w:r>
        <w:rPr>
          <w:b/>
          <w:bCs/>
        </w:rPr>
        <w:t xml:space="preserve">Forecast note.</w:t>
      </w:r>
      <w:r>
        <w:t xml:space="preserve"> </w:t>
      </w:r>
      <w:r>
        <w:t xml:space="preserve">This is a scenario analysis, not a promise of price performance or individualized investment advice. No one can know the platinum price in 2051, the exact vehicle mix, the scale of hydrogen deployment, the fate of individual mines, or the timing of recessions and speculative cycles twenty-five years in advance. The useful task is to identify the forces already visible, test how they interact, define plausible demand, supply, recycling, and price ranges, and state what evidence would change the outlook.</w:t>
      </w:r>
    </w:p>
    <w:p>
      <w:pPr>
        <w:pStyle w:val="BodyText"/>
      </w:pPr>
      <w:r>
        <w:t xml:space="preserve">Platinum enters the next quarter century with a market structure that is both fragile and adaptable. Mine supply is concentrated in southern Africa and Russia. Automotive catalysts still absorb more platinum than any other single end use, but battery-electric vehicles do not need exhaust after-treatment. Hydrogen technologies could create a large new source of demand, yet their commercial trajectory is uncertain and the amount of platinum required per unit is being engineered downward. Recycling can respond faster than mining to high prices, but most recycled ounces arrive only after a vehicle, jewel, industrial catalyst, or device reaches the end of its service life.</w:t>
      </w:r>
    </w:p>
    <w:p>
      <w:pPr>
        <w:pStyle w:val="BlockText"/>
      </w:pPr>
      <w:r>
        <w:rPr>
          <w:b/>
          <w:bCs/>
        </w:rPr>
        <w:t xml:space="preserve">Central projection:</w:t>
      </w:r>
      <w:r>
        <w:t xml:space="preserve"> </w:t>
      </w:r>
      <w:r>
        <w:t xml:space="preserve">by 2051, annual platinum demand is plausibly in a broad range of about 5.6 million to 10.5 million troy ounces, compared with a 2026 working baseline of 7.674 million ounces. The middle scenario reaches about 7.7 million ounces. That apparent stability hides a major change in composition: less conventional autocatalyst demand, more recycling, more hydrogen and specialized industrial use, and a market that places greater value on origin, custody, recovery, and technical form.</w:t>
      </w:r>
    </w:p>
    <w:p>
      <w:pPr>
        <w:pStyle w:val="FirstParagraph"/>
      </w:pPr>
      <w:r>
        <w:t xml:space="preserve">The commercial outcome will not be decided by demand alone. Platinum is commonly produced in a basket with palladium, rhodium, nickel, copper, and gold. A mine can cut or expand output because of the economics of the basket even when platinum itself is strong. Buyers often need sponge, gauze, alloy, crucible, catalyst, or an allocated metal account rather than a generic ounce. Sellers of autocatalysts or industrial scrap are paid after sampling, assay, recovery, and refining, not from a screen price multiplied by gross weight. The benchmark remains important, but the final invoice is a chain of quality, location, timing, financing, and counterparty adjustments.</w:t>
      </w:r>
    </w:p>
    <w:bookmarkStart w:id="20" w:name="key-findings"/>
    <w:p>
      <w:pPr>
        <w:pStyle w:val="Heading2"/>
      </w:pPr>
      <w:r>
        <w:t xml:space="preserve">Key findings</w:t>
      </w:r>
    </w:p>
    <w:p>
      <w:pPr>
        <w:pStyle w:val="Compact"/>
        <w:numPr>
          <w:ilvl w:val="0"/>
          <w:numId w:val="1001"/>
        </w:numPr>
      </w:pPr>
      <w:r>
        <w:t xml:space="preserve">The 2026 market is physically tight but not uniformly short. The World Platinum Investment Council, using Metals Focus data, forecasts total demand of 7.674 million ounces, total supply of 7.377 million ounces, and a fourth consecutive annual deficit of 297,000 ounces. It also forecasts above-ground stocks of 1.747 million ounces, under three months of demand (WPIC 2026a).</w:t>
      </w:r>
    </w:p>
    <w:p>
      <w:pPr>
        <w:pStyle w:val="Compact"/>
        <w:numPr>
          <w:ilvl w:val="0"/>
          <w:numId w:val="1001"/>
        </w:numPr>
      </w:pPr>
      <w:r>
        <w:t xml:space="preserve">The automotive transition is the largest downside risk. Battery-electric vehicles require no autocatalyst, but hybrids, extended-range vehicles, heavy-duty engines, non-road equipment, and tighter traditional-pollutant standards can preserve platinum use for longer than a simple ICE-versus-EV forecast implies. Policy is not one-directional: the United States rescinded federal highway greenhouse-gas standards in February 2026 while retaining rules for traditional air pollutants (IEA 2026a; EPA 2022, 2026; European Union 2024b).</w:t>
      </w:r>
    </w:p>
    <w:p>
      <w:pPr>
        <w:pStyle w:val="Compact"/>
        <w:numPr>
          <w:ilvl w:val="0"/>
          <w:numId w:val="1001"/>
        </w:numPr>
      </w:pPr>
      <w:r>
        <w:t xml:space="preserve">Hydrogen is the largest credible upside, not a guaranteed replacement for autocatalysts. Low-emissions hydrogen remains a small fraction of the global hydrogen system, announced projects have been delayed, and both electrolyzer and fuel-cell developers are reducing platinum-group-metal loadings (IEA 2026b; DOE 2026a, 2026b).</w:t>
      </w:r>
    </w:p>
    <w:p>
      <w:pPr>
        <w:pStyle w:val="Compact"/>
        <w:numPr>
          <w:ilvl w:val="0"/>
          <w:numId w:val="1001"/>
        </w:numPr>
      </w:pPr>
      <w:r>
        <w:t xml:space="preserve">Mine supply is slow, concentrated, and governed by co-product economics. South Africa accounts for roughly 72 percent of forecast 2026 platinum mine supply in the WPIC table. Zimbabwe, Russia, North America, and a small group of other producers make up most of the remainder (WPIC 2026a).</w:t>
      </w:r>
    </w:p>
    <w:p>
      <w:pPr>
        <w:pStyle w:val="Compact"/>
        <w:numPr>
          <w:ilvl w:val="0"/>
          <w:numId w:val="1001"/>
        </w:numPr>
      </w:pPr>
      <w:r>
        <w:t xml:space="preserve">Recycling becomes more important in every scenario, but its feedstock changes. Autocatalyst returns rise as large combustion-engine fleets age, then eventually weaken if battery-electric vehicles dominate. Jewelry, industrial catalysts, fuel-cell stacks, and electrolyzers become more important secondary sources later in the period.</w:t>
      </w:r>
    </w:p>
    <w:p>
      <w:pPr>
        <w:pStyle w:val="Compact"/>
        <w:numPr>
          <w:ilvl w:val="0"/>
          <w:numId w:val="1001"/>
        </w:numPr>
      </w:pPr>
      <w:r>
        <w:t xml:space="preserve">A single 2051 platinum price target would be false precision. This report uses sustained real-price planning bands in constant 2026 U.S. dollars per troy ounce, then shows how inflation changes the nominal number.</w:t>
      </w:r>
    </w:p>
    <w:p>
      <w:pPr>
        <w:pStyle w:val="Compact"/>
        <w:numPr>
          <w:ilvl w:val="0"/>
          <w:numId w:val="1001"/>
        </w:numPr>
      </w:pPr>
      <w:r>
        <w:t xml:space="preserve">The strongest buyer strategy is to manage metal exposure, technical specification, supplier concentration, leasing, recycling credits, and substitution as one system. The strongest seller strategy is to improve assay credibility, recovery, traceability, and route-to-market rather than relying on the headline benchmark alone.</w:t>
      </w:r>
    </w:p>
    <w:bookmarkEnd w:id="20"/>
    <w:bookmarkStart w:id="21" w:name="contents"/>
    <w:p>
      <w:pPr>
        <w:pStyle w:val="Heading2"/>
      </w:pPr>
      <w:r>
        <w:t xml:space="preserve">Contents</w:t>
      </w:r>
    </w:p>
    <w:p>
      <w:pPr>
        <w:pStyle w:val="Compact"/>
        <w:numPr>
          <w:ilvl w:val="0"/>
          <w:numId w:val="1002"/>
        </w:numPr>
      </w:pPr>
      <w:hyperlink w:anchor="the-outlook-at-a-glance">
        <w:r>
          <w:rPr>
            <w:rStyle w:val="Hyperlink"/>
          </w:rPr>
          <w:t xml:space="preserve">The outlook at a glance</w:t>
        </w:r>
      </w:hyperlink>
    </w:p>
    <w:p>
      <w:pPr>
        <w:pStyle w:val="Compact"/>
        <w:numPr>
          <w:ilvl w:val="0"/>
          <w:numId w:val="1002"/>
        </w:numPr>
      </w:pPr>
      <w:hyperlink w:anchor="how-this-forecast-was-built">
        <w:r>
          <w:rPr>
            <w:rStyle w:val="Hyperlink"/>
          </w:rPr>
          <w:t xml:space="preserve">How this forecast was built</w:t>
        </w:r>
      </w:hyperlink>
    </w:p>
    <w:p>
      <w:pPr>
        <w:pStyle w:val="Compact"/>
        <w:numPr>
          <w:ilvl w:val="0"/>
          <w:numId w:val="1002"/>
        </w:numPr>
      </w:pPr>
      <w:hyperlink w:anchor="the-2026-starting-point">
        <w:r>
          <w:rPr>
            <w:rStyle w:val="Hyperlink"/>
          </w:rPr>
          <w:t xml:space="preserve">1. The 2026 starting point</w:t>
        </w:r>
      </w:hyperlink>
    </w:p>
    <w:p>
      <w:pPr>
        <w:pStyle w:val="Compact"/>
        <w:numPr>
          <w:ilvl w:val="0"/>
          <w:numId w:val="1002"/>
        </w:numPr>
      </w:pPr>
      <w:hyperlink w:anchor="what-will-actually-be-bought-and-sold">
        <w:r>
          <w:rPr>
            <w:rStyle w:val="Hyperlink"/>
          </w:rPr>
          <w:t xml:space="preserve">2. What will actually be bought and sold</w:t>
        </w:r>
      </w:hyperlink>
    </w:p>
    <w:p>
      <w:pPr>
        <w:pStyle w:val="Compact"/>
        <w:numPr>
          <w:ilvl w:val="0"/>
          <w:numId w:val="1002"/>
        </w:numPr>
      </w:pPr>
      <w:hyperlink w:anchor="the-automotive-transition">
        <w:r>
          <w:rPr>
            <w:rStyle w:val="Hyperlink"/>
          </w:rPr>
          <w:t xml:space="preserve">3. The automotive transition</w:t>
        </w:r>
      </w:hyperlink>
    </w:p>
    <w:p>
      <w:pPr>
        <w:pStyle w:val="Compact"/>
        <w:numPr>
          <w:ilvl w:val="0"/>
          <w:numId w:val="1002"/>
        </w:numPr>
      </w:pPr>
      <w:hyperlink w:anchor="hydrogen-fuel-cells-and-electrolysis">
        <w:r>
          <w:rPr>
            <w:rStyle w:val="Hyperlink"/>
          </w:rPr>
          <w:t xml:space="preserve">4. Hydrogen, fuel cells, and electrolysis</w:t>
        </w:r>
      </w:hyperlink>
    </w:p>
    <w:p>
      <w:pPr>
        <w:pStyle w:val="Compact"/>
        <w:numPr>
          <w:ilvl w:val="0"/>
          <w:numId w:val="1002"/>
        </w:numPr>
      </w:pPr>
      <w:hyperlink w:anchor="Xe9a6b799fe403a1172ead1a7ccb256730c11d2b">
        <w:r>
          <w:rPr>
            <w:rStyle w:val="Hyperlink"/>
          </w:rPr>
          <w:t xml:space="preserve">5. Industrial, medical, electrical, and digital demand</w:t>
        </w:r>
      </w:hyperlink>
    </w:p>
    <w:p>
      <w:pPr>
        <w:pStyle w:val="Compact"/>
        <w:numPr>
          <w:ilvl w:val="0"/>
          <w:numId w:val="1002"/>
        </w:numPr>
      </w:pPr>
      <w:hyperlink w:anchor="jewelry-and-investment-demand">
        <w:r>
          <w:rPr>
            <w:rStyle w:val="Hyperlink"/>
          </w:rPr>
          <w:t xml:space="preserve">6. Jewelry and investment demand</w:t>
        </w:r>
      </w:hyperlink>
    </w:p>
    <w:p>
      <w:pPr>
        <w:pStyle w:val="Compact"/>
        <w:numPr>
          <w:ilvl w:val="0"/>
          <w:numId w:val="1002"/>
        </w:numPr>
      </w:pPr>
      <w:hyperlink w:anchor="the-primary-supply-problem">
        <w:r>
          <w:rPr>
            <w:rStyle w:val="Hyperlink"/>
          </w:rPr>
          <w:t xml:space="preserve">7. The primary-supply problem</w:t>
        </w:r>
      </w:hyperlink>
    </w:p>
    <w:p>
      <w:pPr>
        <w:pStyle w:val="Compact"/>
        <w:numPr>
          <w:ilvl w:val="0"/>
          <w:numId w:val="1002"/>
        </w:numPr>
      </w:pPr>
      <w:hyperlink w:anchor="Xf5bbbb743a0e51e7e966c84c85735e4ad0212ec">
        <w:r>
          <w:rPr>
            <w:rStyle w:val="Hyperlink"/>
          </w:rPr>
          <w:t xml:space="preserve">8. Recycling and the future secondary market</w:t>
        </w:r>
      </w:hyperlink>
    </w:p>
    <w:p>
      <w:pPr>
        <w:pStyle w:val="Compact"/>
        <w:numPr>
          <w:ilvl w:val="0"/>
          <w:numId w:val="1002"/>
        </w:numPr>
      </w:pPr>
      <w:hyperlink w:anchor="substitution-thrift-and-technology-risk">
        <w:r>
          <w:rPr>
            <w:rStyle w:val="Hyperlink"/>
          </w:rPr>
          <w:t xml:space="preserve">9. Substitution, thrift, and technology risk</w:t>
        </w:r>
      </w:hyperlink>
    </w:p>
    <w:p>
      <w:pPr>
        <w:pStyle w:val="Compact"/>
        <w:numPr>
          <w:ilvl w:val="0"/>
          <w:numId w:val="1002"/>
        </w:numPr>
      </w:pPr>
      <w:hyperlink w:anchor="X410c57517e0b60d2f01ef0059a958e94c1d050d">
        <w:r>
          <w:rPr>
            <w:rStyle w:val="Hyperlink"/>
          </w:rPr>
          <w:t xml:space="preserve">10. Geography, policy, and market infrastructure</w:t>
        </w:r>
      </w:hyperlink>
    </w:p>
    <w:p>
      <w:pPr>
        <w:pStyle w:val="Compact"/>
        <w:numPr>
          <w:ilvl w:val="0"/>
          <w:numId w:val="1002"/>
        </w:numPr>
      </w:pPr>
      <w:hyperlink w:anchor="Xea83885a5cc1b3b39cb628160ac2a22e132290b">
        <w:r>
          <w:rPr>
            <w:rStyle w:val="Hyperlink"/>
          </w:rPr>
          <w:t xml:space="preserve">11. Three platinum-market scenarios for 2026-2051</w:t>
        </w:r>
      </w:hyperlink>
    </w:p>
    <w:p>
      <w:pPr>
        <w:pStyle w:val="Compact"/>
        <w:numPr>
          <w:ilvl w:val="0"/>
          <w:numId w:val="1002"/>
        </w:numPr>
      </w:pPr>
      <w:hyperlink w:anchor="X834e034e68a40d81347c6bcc402c457cbf325f4">
        <w:r>
          <w:rPr>
            <w:rStyle w:val="Hyperlink"/>
          </w:rPr>
          <w:t xml:space="preserve">12. Platinum price outlook in real and nominal dollars</w:t>
        </w:r>
      </w:hyperlink>
    </w:p>
    <w:p>
      <w:pPr>
        <w:pStyle w:val="Compact"/>
        <w:numPr>
          <w:ilvl w:val="0"/>
          <w:numId w:val="1002"/>
        </w:numPr>
      </w:pPr>
      <w:hyperlink w:anchor="how-platinum-buying-is-likely-to-change">
        <w:r>
          <w:rPr>
            <w:rStyle w:val="Hyperlink"/>
          </w:rPr>
          <w:t xml:space="preserve">13. How platinum buying is likely to change</w:t>
        </w:r>
      </w:hyperlink>
    </w:p>
    <w:p>
      <w:pPr>
        <w:pStyle w:val="Compact"/>
        <w:numPr>
          <w:ilvl w:val="0"/>
          <w:numId w:val="1002"/>
        </w:numPr>
      </w:pPr>
      <w:hyperlink w:anchor="how-platinum-selling-is-likely-to-change">
        <w:r>
          <w:rPr>
            <w:rStyle w:val="Hyperlink"/>
          </w:rPr>
          <w:t xml:space="preserve">14. How platinum selling is likely to change</w:t>
        </w:r>
      </w:hyperlink>
    </w:p>
    <w:p>
      <w:pPr>
        <w:pStyle w:val="Compact"/>
        <w:numPr>
          <w:ilvl w:val="0"/>
          <w:numId w:val="1002"/>
        </w:numPr>
      </w:pPr>
      <w:hyperlink w:anchor="Xc08589bdad9ca6c5cf202b8228d6bc832077df4">
        <w:r>
          <w:rPr>
            <w:rStyle w:val="Hyperlink"/>
          </w:rPr>
          <w:t xml:space="preserve">15. Milestones, signposts, and practical playbooks</w:t>
        </w:r>
      </w:hyperlink>
    </w:p>
    <w:p>
      <w:pPr>
        <w:pStyle w:val="Compact"/>
        <w:numPr>
          <w:ilvl w:val="0"/>
          <w:numId w:val="1002"/>
        </w:numPr>
      </w:pPr>
      <w:hyperlink w:anchor="conclusion">
        <w:r>
          <w:rPr>
            <w:rStyle w:val="Hyperlink"/>
          </w:rPr>
          <w:t xml:space="preserve">Conclusion</w:t>
        </w:r>
      </w:hyperlink>
    </w:p>
    <w:p>
      <w:pPr>
        <w:pStyle w:val="Compact"/>
        <w:numPr>
          <w:ilvl w:val="0"/>
          <w:numId w:val="1002"/>
        </w:numPr>
      </w:pPr>
      <w:hyperlink w:anchor="frequently-asked-questions">
        <w:r>
          <w:rPr>
            <w:rStyle w:val="Hyperlink"/>
          </w:rPr>
          <w:t xml:space="preserve">Frequently asked questions</w:t>
        </w:r>
      </w:hyperlink>
    </w:p>
    <w:p>
      <w:pPr>
        <w:pStyle w:val="Compact"/>
        <w:numPr>
          <w:ilvl w:val="0"/>
          <w:numId w:val="1002"/>
        </w:numPr>
      </w:pPr>
      <w:hyperlink w:anchor="glossary-of-platinum-market-terms">
        <w:r>
          <w:rPr>
            <w:rStyle w:val="Hyperlink"/>
          </w:rPr>
          <w:t xml:space="preserve">Glossary</w:t>
        </w:r>
      </w:hyperlink>
    </w:p>
    <w:p>
      <w:pPr>
        <w:pStyle w:val="Compact"/>
        <w:numPr>
          <w:ilvl w:val="0"/>
          <w:numId w:val="1002"/>
        </w:numPr>
      </w:pPr>
      <w:hyperlink w:anchor="research-and-editorial-methodology">
        <w:r>
          <w:rPr>
            <w:rStyle w:val="Hyperlink"/>
          </w:rPr>
          <w:t xml:space="preserve">Research methodology</w:t>
        </w:r>
      </w:hyperlink>
    </w:p>
    <w:p>
      <w:pPr>
        <w:pStyle w:val="Compact"/>
        <w:pageBreakBefore/>
        <w:numPr>
          <w:ilvl w:val="0"/>
          <w:numId w:val="1002"/>
        </w:numPr>
      </w:pPr>
      <w:hyperlink w:anchor="bibliography">
        <w:r>
          <w:rPr>
            <w:rStyle w:val="Hyperlink"/>
          </w:rPr>
          <w:t xml:space="preserve">Bibliography</w:t>
        </w:r>
      </w:hyperlink>
    </w:p>
    <w:bookmarkEnd w:id="21"/>
    <w:bookmarkStart w:id="22" w:name="the-outlook-at-a-glance"/>
    <w:p>
      <w:pPr>
        <w:pStyle w:val="Heading2"/>
      </w:pPr>
      <w:r>
        <w:t xml:space="preserve">The outlook at a glance</w:t>
      </w:r>
    </w:p>
    <w:tbl>
      <w:tblPr>
        <w:tblStyle w:val="Table"/>
        <w:tblW w:type="pct" w:w="5000"/>
        <w:jc w:val="left"/>
        <w:tblLayout w:type="autofit"/>
        <w:tblLook w:firstRow="1" w:lastRow="0" w:firstColumn="0" w:lastColumn="0" w:noHBand="0" w:noVBand="0" w:val="0020"/>
      </w:tblPr>
      <w:tblGrid>
        <w:gridCol w:w="1250"/>
        <w:gridCol w:w="1667"/>
        <w:gridCol w:w="1667"/>
        <w:gridCol w:w="1667"/>
        <w:gridCol w:w="1667"/>
      </w:tblGrid>
      <w:tr>
        <w:trPr>
          <w:tblHeader w:val="on"/>
        </w:trPr>
        <w:tc>
          <w:tcPr/>
          <w:p>
            <w:pPr>
              <w:pStyle w:val="Compact"/>
              <w:spacing w:before="0" w:after="17" w:line="230" w:lineRule="auto"/>
              <w:jc w:val="left"/>
            </w:pPr>
            <w:r>
              <w:rPr>
                <w:rFonts w:ascii="Noto Serif" w:hAnsi="Noto Serif"/>
                <w:b/>
                <w:sz w:val="15"/>
              </w:rPr>
              <w:t xml:space="preserve">Indicator</w:t>
            </w:r>
          </w:p>
        </w:tc>
        <w:tc>
          <w:tcPr/>
          <w:p>
            <w:pPr>
              <w:pStyle w:val="Compact"/>
              <w:spacing w:before="0" w:after="17" w:line="230" w:lineRule="auto"/>
              <w:jc w:val="right"/>
            </w:pPr>
            <w:r>
              <w:rPr>
                <w:rFonts w:ascii="Noto Serif" w:hAnsi="Noto Serif"/>
                <w:b/>
                <w:sz w:val="15"/>
              </w:rPr>
              <w:t xml:space="preserve">2026 starting point</w:t>
            </w:r>
          </w:p>
        </w:tc>
        <w:tc>
          <w:tcPr/>
          <w:p>
            <w:pPr>
              <w:pStyle w:val="Compact"/>
              <w:spacing w:before="0" w:after="17" w:line="230" w:lineRule="auto"/>
              <w:jc w:val="right"/>
            </w:pPr>
            <w:r>
              <w:rPr>
                <w:rFonts w:ascii="Noto Serif" w:hAnsi="Noto Serif"/>
                <w:b/>
                <w:sz w:val="15"/>
              </w:rPr>
              <w:t xml:space="preserve">2035 base case</w:t>
            </w:r>
          </w:p>
        </w:tc>
        <w:tc>
          <w:tcPr/>
          <w:p>
            <w:pPr>
              <w:pStyle w:val="Compact"/>
              <w:spacing w:before="0" w:after="17" w:line="230" w:lineRule="auto"/>
              <w:jc w:val="right"/>
            </w:pPr>
            <w:r>
              <w:rPr>
                <w:rFonts w:ascii="Noto Serif" w:hAnsi="Noto Serif"/>
                <w:b/>
                <w:sz w:val="15"/>
              </w:rPr>
              <w:t xml:space="preserve">2040 base case</w:t>
            </w:r>
          </w:p>
        </w:tc>
        <w:tc>
          <w:tcPr/>
          <w:p>
            <w:pPr>
              <w:pStyle w:val="Compact"/>
              <w:spacing w:before="0" w:after="17" w:line="230" w:lineRule="auto"/>
              <w:jc w:val="right"/>
            </w:pPr>
            <w:r>
              <w:rPr>
                <w:rFonts w:ascii="Noto Serif" w:hAnsi="Noto Serif"/>
                <w:b/>
                <w:sz w:val="15"/>
              </w:rPr>
              <w:t xml:space="preserve">2051 base case</w:t>
            </w:r>
          </w:p>
        </w:tc>
      </w:tr>
      <w:tr>
        <w:tc>
          <w:tcPr/>
          <w:p>
            <w:pPr>
              <w:pStyle w:val="Compact"/>
              <w:spacing w:before="0" w:after="17" w:line="230" w:lineRule="auto"/>
              <w:jc w:val="left"/>
            </w:pPr>
            <w:r>
              <w:rPr>
                <w:rFonts w:ascii="Noto Serif" w:hAnsi="Noto Serif"/>
                <w:sz w:val="15"/>
              </w:rPr>
              <w:t xml:space="preserve">Total platinum demand</w:t>
            </w:r>
          </w:p>
        </w:tc>
        <w:tc>
          <w:tcPr/>
          <w:p>
            <w:pPr>
              <w:pStyle w:val="Compact"/>
              <w:spacing w:before="0" w:after="17" w:line="230" w:lineRule="auto"/>
              <w:jc w:val="right"/>
            </w:pPr>
            <w:r>
              <w:rPr>
                <w:rFonts w:ascii="Noto Serif" w:hAnsi="Noto Serif"/>
                <w:sz w:val="15"/>
              </w:rPr>
              <w:t xml:space="preserve">7.674 Moz</w:t>
            </w:r>
          </w:p>
        </w:tc>
        <w:tc>
          <w:tcPr/>
          <w:p>
            <w:pPr>
              <w:pStyle w:val="Compact"/>
              <w:spacing w:before="0" w:after="17" w:line="230" w:lineRule="auto"/>
              <w:jc w:val="right"/>
            </w:pPr>
            <w:r>
              <w:rPr>
                <w:rFonts w:ascii="Noto Serif" w:hAnsi="Noto Serif"/>
                <w:sz w:val="15"/>
              </w:rPr>
              <w:t xml:space="preserve">7.6 Moz</w:t>
            </w:r>
          </w:p>
        </w:tc>
        <w:tc>
          <w:tcPr/>
          <w:p>
            <w:pPr>
              <w:pStyle w:val="Compact"/>
              <w:spacing w:before="0" w:after="17" w:line="230" w:lineRule="auto"/>
              <w:jc w:val="right"/>
            </w:pPr>
            <w:r>
              <w:rPr>
                <w:rFonts w:ascii="Noto Serif" w:hAnsi="Noto Serif"/>
                <w:sz w:val="15"/>
              </w:rPr>
              <w:t xml:space="preserve">7.5 Moz</w:t>
            </w:r>
          </w:p>
        </w:tc>
        <w:tc>
          <w:tcPr/>
          <w:p>
            <w:pPr>
              <w:pStyle w:val="Compact"/>
              <w:spacing w:before="0" w:after="17" w:line="230" w:lineRule="auto"/>
              <w:jc w:val="right"/>
            </w:pPr>
            <w:r>
              <w:rPr>
                <w:rFonts w:ascii="Noto Serif" w:hAnsi="Noto Serif"/>
                <w:sz w:val="15"/>
              </w:rPr>
              <w:t xml:space="preserve">7.7 Moz</w:t>
            </w:r>
          </w:p>
        </w:tc>
      </w:tr>
      <w:tr>
        <w:tc>
          <w:tcPr/>
          <w:p>
            <w:pPr>
              <w:pStyle w:val="Compact"/>
              <w:spacing w:before="0" w:after="17" w:line="230" w:lineRule="auto"/>
              <w:jc w:val="left"/>
            </w:pPr>
            <w:r>
              <w:rPr>
                <w:rFonts w:ascii="Noto Serif" w:hAnsi="Noto Serif"/>
                <w:sz w:val="15"/>
              </w:rPr>
              <w:t xml:space="preserve">Illustrative secondary share</w:t>
            </w:r>
          </w:p>
        </w:tc>
        <w:tc>
          <w:tcPr/>
          <w:p>
            <w:pPr>
              <w:pStyle w:val="Compact"/>
              <w:spacing w:before="0" w:after="17" w:line="230" w:lineRule="auto"/>
              <w:jc w:val="right"/>
            </w:pPr>
            <w:r>
              <w:rPr>
                <w:rFonts w:ascii="Noto Serif" w:hAnsi="Noto Serif"/>
                <w:sz w:val="15"/>
              </w:rPr>
              <w:t xml:space="preserve">23.8%</w:t>
            </w:r>
          </w:p>
        </w:tc>
        <w:tc>
          <w:tcPr/>
          <w:p>
            <w:pPr>
              <w:pStyle w:val="Compact"/>
              <w:spacing w:before="0" w:after="17" w:line="230" w:lineRule="auto"/>
              <w:jc w:val="right"/>
            </w:pPr>
            <w:r>
              <w:rPr>
                <w:rFonts w:ascii="Noto Serif" w:hAnsi="Noto Serif"/>
                <w:sz w:val="15"/>
              </w:rPr>
              <w:t xml:space="preserve">32%</w:t>
            </w:r>
          </w:p>
        </w:tc>
        <w:tc>
          <w:tcPr/>
          <w:p>
            <w:pPr>
              <w:pStyle w:val="Compact"/>
              <w:spacing w:before="0" w:after="17" w:line="230" w:lineRule="auto"/>
              <w:jc w:val="right"/>
            </w:pPr>
            <w:r>
              <w:rPr>
                <w:rFonts w:ascii="Noto Serif" w:hAnsi="Noto Serif"/>
                <w:sz w:val="15"/>
              </w:rPr>
              <w:t xml:space="preserve">35%</w:t>
            </w:r>
          </w:p>
        </w:tc>
        <w:tc>
          <w:tcPr/>
          <w:p>
            <w:pPr>
              <w:pStyle w:val="Compact"/>
              <w:spacing w:before="0" w:after="17" w:line="230" w:lineRule="auto"/>
              <w:jc w:val="right"/>
            </w:pPr>
            <w:r>
              <w:rPr>
                <w:rFonts w:ascii="Noto Serif" w:hAnsi="Noto Serif"/>
                <w:sz w:val="15"/>
              </w:rPr>
              <w:t xml:space="preserve">35%</w:t>
            </w:r>
          </w:p>
        </w:tc>
      </w:tr>
      <w:tr>
        <w:tc>
          <w:tcPr/>
          <w:p>
            <w:pPr>
              <w:pStyle w:val="Compact"/>
              <w:spacing w:before="0" w:after="17" w:line="230" w:lineRule="auto"/>
              <w:jc w:val="left"/>
            </w:pPr>
            <w:r>
              <w:rPr>
                <w:rFonts w:ascii="Noto Serif" w:hAnsi="Noto Serif"/>
                <w:sz w:val="15"/>
              </w:rPr>
              <w:t xml:space="preserve">Primary material still required</w:t>
            </w:r>
          </w:p>
        </w:tc>
        <w:tc>
          <w:tcPr/>
          <w:p>
            <w:pPr>
              <w:pStyle w:val="Compact"/>
              <w:spacing w:before="0" w:after="17" w:line="230" w:lineRule="auto"/>
              <w:jc w:val="right"/>
            </w:pPr>
            <w:r>
              <w:rPr>
                <w:rFonts w:ascii="Noto Serif" w:hAnsi="Noto Serif"/>
                <w:sz w:val="15"/>
              </w:rPr>
              <w:t xml:space="preserve">5.85 Moz</w:t>
            </w:r>
          </w:p>
        </w:tc>
        <w:tc>
          <w:tcPr/>
          <w:p>
            <w:pPr>
              <w:pStyle w:val="Compact"/>
              <w:spacing w:before="0" w:after="17" w:line="230" w:lineRule="auto"/>
              <w:jc w:val="right"/>
            </w:pPr>
            <w:r>
              <w:rPr>
                <w:rFonts w:ascii="Noto Serif" w:hAnsi="Noto Serif"/>
                <w:sz w:val="15"/>
              </w:rPr>
              <w:t xml:space="preserve">5.17 Moz</w:t>
            </w:r>
          </w:p>
        </w:tc>
        <w:tc>
          <w:tcPr/>
          <w:p>
            <w:pPr>
              <w:pStyle w:val="Compact"/>
              <w:spacing w:before="0" w:after="17" w:line="230" w:lineRule="auto"/>
              <w:jc w:val="right"/>
            </w:pPr>
            <w:r>
              <w:rPr>
                <w:rFonts w:ascii="Noto Serif" w:hAnsi="Noto Serif"/>
                <w:sz w:val="15"/>
              </w:rPr>
              <w:t xml:space="preserve">4.88 Moz</w:t>
            </w:r>
          </w:p>
        </w:tc>
        <w:tc>
          <w:tcPr/>
          <w:p>
            <w:pPr>
              <w:pStyle w:val="Compact"/>
              <w:spacing w:before="0" w:after="17" w:line="230" w:lineRule="auto"/>
              <w:jc w:val="right"/>
            </w:pPr>
            <w:r>
              <w:rPr>
                <w:rFonts w:ascii="Noto Serif" w:hAnsi="Noto Serif"/>
                <w:sz w:val="15"/>
              </w:rPr>
              <w:t xml:space="preserve">5.01 Moz</w:t>
            </w:r>
          </w:p>
        </w:tc>
      </w:tr>
      <w:tr>
        <w:tc>
          <w:tcPr/>
          <w:p>
            <w:pPr>
              <w:pStyle w:val="Compact"/>
              <w:spacing w:before="0" w:after="17" w:line="230" w:lineRule="auto"/>
              <w:jc w:val="left"/>
            </w:pPr>
            <w:r>
              <w:rPr>
                <w:rFonts w:ascii="Noto Serif" w:hAnsi="Noto Serif"/>
                <w:sz w:val="15"/>
              </w:rPr>
              <w:t xml:space="preserve">Sustained real-price planning band</w:t>
            </w:r>
          </w:p>
        </w:tc>
        <w:tc>
          <w:tcPr/>
          <w:p>
            <w:pPr>
              <w:pStyle w:val="Compact"/>
              <w:spacing w:before="0" w:after="17" w:line="230" w:lineRule="auto"/>
              <w:jc w:val="right"/>
            </w:pPr>
            <w:r>
              <w:rPr>
                <w:rFonts w:ascii="Noto Serif" w:hAnsi="Noto Serif"/>
                <w:sz w:val="15"/>
              </w:rPr>
              <w:t xml:space="preserve">Current market, not normalized</w:t>
            </w:r>
          </w:p>
        </w:tc>
        <w:tc>
          <w:tcPr/>
          <w:p>
            <w:pPr>
              <w:pStyle w:val="Compact"/>
              <w:spacing w:before="0" w:after="17" w:line="230" w:lineRule="auto"/>
              <w:jc w:val="right"/>
            </w:pPr>
            <w:r>
              <w:rPr>
                <w:rFonts w:ascii="Noto Serif" w:hAnsi="Noto Serif"/>
                <w:sz w:val="15"/>
              </w:rPr>
              <w:t xml:space="preserve">$1,350-$2,550/oz</w:t>
            </w:r>
          </w:p>
        </w:tc>
        <w:tc>
          <w:tcPr/>
          <w:p>
            <w:pPr>
              <w:pStyle w:val="Compact"/>
              <w:spacing w:before="0" w:after="17" w:line="230" w:lineRule="auto"/>
              <w:jc w:val="right"/>
            </w:pPr>
            <w:r>
              <w:rPr>
                <w:rFonts w:ascii="Noto Serif" w:hAnsi="Noto Serif"/>
                <w:sz w:val="15"/>
              </w:rPr>
              <w:t xml:space="preserve">$1,300-$2,650/oz</w:t>
            </w:r>
          </w:p>
        </w:tc>
        <w:tc>
          <w:tcPr/>
          <w:p>
            <w:pPr>
              <w:pStyle w:val="Compact"/>
              <w:spacing w:before="0" w:after="17" w:line="230" w:lineRule="auto"/>
              <w:jc w:val="right"/>
            </w:pPr>
            <w:r>
              <w:rPr>
                <w:rFonts w:ascii="Noto Serif" w:hAnsi="Noto Serif"/>
                <w:sz w:val="15"/>
              </w:rPr>
              <w:t xml:space="preserve">$1,300-$2,700/oz</w:t>
            </w:r>
          </w:p>
        </w:tc>
      </w:tr>
      <w:tr>
        <w:tc>
          <w:tcPr/>
          <w:p>
            <w:pPr>
              <w:pStyle w:val="Compact"/>
              <w:spacing w:before="0" w:after="17" w:line="230" w:lineRule="auto"/>
              <w:jc w:val="left"/>
            </w:pPr>
            <w:r>
              <w:rPr>
                <w:rFonts w:ascii="Noto Serif" w:hAnsi="Noto Serif"/>
                <w:sz w:val="15"/>
              </w:rPr>
              <w:t xml:space="preserve">Main buyer concern</w:t>
            </w:r>
          </w:p>
        </w:tc>
        <w:tc>
          <w:tcPr/>
          <w:p>
            <w:pPr>
              <w:pStyle w:val="Compact"/>
              <w:spacing w:before="0" w:after="17" w:line="230" w:lineRule="auto"/>
              <w:jc w:val="right"/>
            </w:pPr>
            <w:r>
              <w:rPr>
                <w:rFonts w:ascii="Noto Serif" w:hAnsi="Noto Serif"/>
                <w:sz w:val="15"/>
              </w:rPr>
              <w:t xml:space="preserve">Tight stocks and price volatility</w:t>
            </w:r>
          </w:p>
        </w:tc>
        <w:tc>
          <w:tcPr/>
          <w:p>
            <w:pPr>
              <w:pStyle w:val="Compact"/>
              <w:spacing w:before="0" w:after="17" w:line="230" w:lineRule="auto"/>
              <w:jc w:val="right"/>
            </w:pPr>
            <w:r>
              <w:rPr>
                <w:rFonts w:ascii="Noto Serif" w:hAnsi="Noto Serif"/>
                <w:sz w:val="15"/>
              </w:rPr>
              <w:t xml:space="preserve">Auto-transition timing and supplier concentration</w:t>
            </w:r>
          </w:p>
        </w:tc>
        <w:tc>
          <w:tcPr/>
          <w:p>
            <w:pPr>
              <w:pStyle w:val="Compact"/>
              <w:spacing w:before="0" w:after="17" w:line="230" w:lineRule="auto"/>
              <w:jc w:val="right"/>
            </w:pPr>
            <w:r>
              <w:rPr>
                <w:rFonts w:ascii="Noto Serif" w:hAnsi="Noto Serif"/>
                <w:sz w:val="15"/>
              </w:rPr>
              <w:t xml:space="preserve">Hydrogen scale, scrap mix, and product form</w:t>
            </w:r>
          </w:p>
        </w:tc>
        <w:tc>
          <w:tcPr/>
          <w:p>
            <w:pPr>
              <w:pStyle w:val="Compact"/>
              <w:spacing w:before="0" w:after="17" w:line="230" w:lineRule="auto"/>
              <w:jc w:val="right"/>
            </w:pPr>
            <w:r>
              <w:rPr>
                <w:rFonts w:ascii="Noto Serif" w:hAnsi="Noto Serif"/>
                <w:sz w:val="15"/>
              </w:rPr>
              <w:t xml:space="preserve">Replacement demand and recycling access</w:t>
            </w:r>
          </w:p>
        </w:tc>
      </w:tr>
      <w:tr>
        <w:tc>
          <w:tcPr/>
          <w:p>
            <w:pPr>
              <w:pStyle w:val="Compact"/>
              <w:spacing w:before="0" w:after="17" w:line="230" w:lineRule="auto"/>
              <w:jc w:val="left"/>
            </w:pPr>
            <w:r>
              <w:rPr>
                <w:rFonts w:ascii="Noto Serif" w:hAnsi="Noto Serif"/>
                <w:sz w:val="15"/>
              </w:rPr>
              <w:t xml:space="preserve">Main seller opportunity</w:t>
            </w:r>
          </w:p>
        </w:tc>
        <w:tc>
          <w:tcPr/>
          <w:p>
            <w:pPr>
              <w:pStyle w:val="Compact"/>
              <w:spacing w:before="0" w:after="17" w:line="230" w:lineRule="auto"/>
              <w:jc w:val="right"/>
            </w:pPr>
            <w:r>
              <w:rPr>
                <w:rFonts w:ascii="Noto Serif" w:hAnsi="Noto Serif"/>
                <w:sz w:val="15"/>
              </w:rPr>
              <w:t xml:space="preserve">High prices and responsive scrap</w:t>
            </w:r>
          </w:p>
        </w:tc>
        <w:tc>
          <w:tcPr/>
          <w:p>
            <w:pPr>
              <w:pStyle w:val="Compact"/>
              <w:spacing w:before="0" w:after="17" w:line="230" w:lineRule="auto"/>
              <w:jc w:val="right"/>
            </w:pPr>
            <w:r>
              <w:rPr>
                <w:rFonts w:ascii="Noto Serif" w:hAnsi="Noto Serif"/>
                <w:sz w:val="15"/>
              </w:rPr>
              <w:t xml:space="preserve">Technical products, recycling, and mine discipline</w:t>
            </w:r>
          </w:p>
        </w:tc>
        <w:tc>
          <w:tcPr/>
          <w:p>
            <w:pPr>
              <w:pStyle w:val="Compact"/>
              <w:spacing w:before="0" w:after="17" w:line="230" w:lineRule="auto"/>
              <w:jc w:val="right"/>
            </w:pPr>
            <w:r>
              <w:rPr>
                <w:rFonts w:ascii="Noto Serif" w:hAnsi="Noto Serif"/>
                <w:sz w:val="15"/>
              </w:rPr>
              <w:t xml:space="preserve">Closed loops, hydrogen products, and verified origin</w:t>
            </w:r>
          </w:p>
        </w:tc>
        <w:tc>
          <w:tcPr/>
          <w:p>
            <w:pPr>
              <w:pStyle w:val="Compact"/>
              <w:spacing w:before="0" w:after="17" w:line="230" w:lineRule="auto"/>
              <w:jc w:val="right"/>
            </w:pPr>
            <w:r>
              <w:rPr>
                <w:rFonts w:ascii="Noto Serif" w:hAnsi="Noto Serif"/>
                <w:sz w:val="15"/>
              </w:rPr>
              <w:t xml:space="preserve">Integrated primary-secondary supply and specialty fabrication</w:t>
            </w:r>
          </w:p>
        </w:tc>
      </w:tr>
    </w:tbl>
    <w:p>
      <w:pPr>
        <w:pStyle w:val="BodyText"/>
      </w:pPr>
      <w:r>
        <w:rPr>
          <w:b/>
          <w:bCs/>
        </w:rPr>
        <w:t xml:space="preserve">Important:</w:t>
      </w:r>
      <w:r>
        <w:t xml:space="preserve"> </w:t>
      </w:r>
      <w:r>
        <w:t xml:space="preserve">all 2035-2051 figures in this table are AllMetalPrices scenario calculations, not official forecasts. The demand paths use public data and institutional outlooks as anchors, then apply explicit assumptions for vehicle technology, hydrogen deployment, industrial growth, jewelry, investment, mine response, recycling, and catalyst thrift. The price ranges are planning bands for a sustained market, not annual-average forecasts, recession lows, or speculative peaks.</w:t>
      </w:r>
    </w:p>
    <w:bookmarkEnd w:id="22"/>
    <w:bookmarkStart w:id="23" w:name="how-this-forecast-was-built"/>
    <w:p>
      <w:pPr>
        <w:pStyle w:val="Heading2"/>
      </w:pPr>
      <w:r>
        <w:t xml:space="preserve">How this forecast was built</w:t>
      </w:r>
    </w:p>
    <w:p>
      <w:pPr>
        <w:pStyle w:val="FirstParagraph"/>
      </w:pPr>
      <w:r>
        <w:t xml:space="preserve">Long-range platinum forecasts often fail by allowing one narrative to consume the entire market. A bearish version assumes that battery-electric vehicles erase autocatalyst demand and therefore erase platinum demand. A bullish version assumes that every announced hydrogen project is built with today’s platinum intensity. Both approaches ignore how commodity markets adapt.</w:t>
      </w:r>
    </w:p>
    <w:p>
      <w:pPr>
        <w:pStyle w:val="BodyText"/>
      </w:pPr>
      <w:r>
        <w:t xml:space="preserve">This paper separates five layers.</w:t>
      </w:r>
    </w:p>
    <w:p>
      <w:pPr>
        <w:pStyle w:val="BodyText"/>
      </w:pPr>
      <w:r>
        <w:t xml:space="preserve">First is</w:t>
      </w:r>
      <w:r>
        <w:t xml:space="preserve"> </w:t>
      </w:r>
      <w:r>
        <w:rPr>
          <w:b/>
          <w:bCs/>
        </w:rPr>
        <w:t xml:space="preserve">end-use demand</w:t>
      </w:r>
      <w:r>
        <w:t xml:space="preserve">: platinum placed in automotive catalysts, chemical and petroleum catalysts, glass equipment, electrical products, medical devices, jewelry, investment products, fuel cells, and electrolyzers. Second is</w:t>
      </w:r>
      <w:r>
        <w:t xml:space="preserve"> </w:t>
      </w:r>
      <w:r>
        <w:rPr>
          <w:b/>
          <w:bCs/>
        </w:rPr>
        <w:t xml:space="preserve">available supply</w:t>
      </w:r>
      <w:r>
        <w:t xml:space="preserve">: mine production, producer inventory, recovered autocatalysts, recycled jewelry, industrial returns, and above-ground stocks. Third is</w:t>
      </w:r>
      <w:r>
        <w:t xml:space="preserve"> </w:t>
      </w:r>
      <w:r>
        <w:rPr>
          <w:b/>
          <w:bCs/>
        </w:rPr>
        <w:t xml:space="preserve">product form</w:t>
      </w:r>
      <w:r>
        <w:t xml:space="preserve">: sponge, plate, ingot, powder, alloy, gauze, catalyst, fabricated component, bullion, or financial exposure. Fourth is</w:t>
      </w:r>
      <w:r>
        <w:t xml:space="preserve"> </w:t>
      </w:r>
      <w:r>
        <w:rPr>
          <w:b/>
          <w:bCs/>
        </w:rPr>
        <w:t xml:space="preserve">commercial access</w:t>
      </w:r>
      <w:r>
        <w:t xml:space="preserve">: whether a buyer can secure the right purity, brand, location, delivery date, financing, and responsible-sourcing evidence. Fifth is</w:t>
      </w:r>
      <w:r>
        <w:t xml:space="preserve"> </w:t>
      </w:r>
      <w:r>
        <w:rPr>
          <w:b/>
          <w:bCs/>
        </w:rPr>
        <w:t xml:space="preserve">price formation</w:t>
      </w:r>
      <w:r>
        <w:t xml:space="preserve">: the London benchmark, exchange futures, lease rates, refining and fabrication charges, assay outcomes, freight, tax, and the economics of the broader PGM basket.</w:t>
      </w:r>
    </w:p>
    <w:p>
      <w:pPr>
        <w:pStyle w:val="BodyText"/>
      </w:pPr>
      <w:r>
        <w:t xml:space="preserve">The scenarios are not probability-weighted forecasts. They are internally consistent commercial regimes:</w:t>
      </w:r>
    </w:p>
    <w:p>
      <w:pPr>
        <w:pStyle w:val="Compact"/>
        <w:numPr>
          <w:ilvl w:val="0"/>
          <w:numId w:val="1003"/>
        </w:numPr>
      </w:pPr>
      <w:r>
        <w:rPr>
          <w:b/>
          <w:bCs/>
        </w:rPr>
        <w:t xml:space="preserve">Battery dominance and metal thrift</w:t>
      </w:r>
      <w:r>
        <w:t xml:space="preserve"> </w:t>
      </w:r>
      <w:r>
        <w:t xml:space="preserve">assumes fast battery-electric adoption, slower hydrogen deployment, aggressive reductions in platinum loading, strong collection, and adequate mine adjustment.</w:t>
      </w:r>
    </w:p>
    <w:p>
      <w:pPr>
        <w:pStyle w:val="Compact"/>
        <w:numPr>
          <w:ilvl w:val="0"/>
          <w:numId w:val="1003"/>
        </w:numPr>
      </w:pPr>
      <w:r>
        <w:rPr>
          <w:b/>
          <w:bCs/>
        </w:rPr>
        <w:t xml:space="preserve">Managed transition and diversified demand</w:t>
      </w:r>
      <w:r>
        <w:t xml:space="preserve"> </w:t>
      </w:r>
      <w:r>
        <w:t xml:space="preserve">assumes a prolonged mix of battery-electric, hybrid, and combustion vehicles; measured hydrogen growth; stable industrial and medical use; continuing jewelry and investment demand; and gradual supply adaptation.</w:t>
      </w:r>
    </w:p>
    <w:p>
      <w:pPr>
        <w:pStyle w:val="Compact"/>
        <w:numPr>
          <w:ilvl w:val="0"/>
          <w:numId w:val="1003"/>
        </w:numPr>
      </w:pPr>
      <w:r>
        <w:rPr>
          <w:b/>
          <w:bCs/>
        </w:rPr>
        <w:t xml:space="preserve">Hydrogen, hybrids, and constrained supply</w:t>
      </w:r>
      <w:r>
        <w:t xml:space="preserve"> </w:t>
      </w:r>
      <w:r>
        <w:t xml:space="preserve">assumes slower displacement of catalytic converters, stronger heavy-duty and stationary fuel-cell deployment, larger PEM electrolysis, persistent mine constraints, and limited substitution in high-performance applications.</w:t>
      </w:r>
    </w:p>
    <w:p>
      <w:pPr>
        <w:pStyle w:val="FirstParagraph"/>
      </w:pPr>
      <w:r>
        <w:t xml:space="preserve">The paper uses 2026 as the starting year because the forecast begins on August 24, 2026. It uses milestone years rather than pretending that annual precision survives twenty-five years of technological and political change. Volume figures are rounded to the nearest 0.1 million ounces in long-range tables. Price bands are expressed in constant 2026 U.S. dollars per troy ounce unless stated otherwise.</w:t>
      </w:r>
    </w:p>
    <w:bookmarkEnd w:id="23"/>
    <w:bookmarkStart w:id="24" w:name="the-2026-starting-point"/>
    <w:p>
      <w:pPr>
        <w:pStyle w:val="Heading2"/>
      </w:pPr>
      <w:r>
        <w:t xml:space="preserve">1. The 2026 starting point</w:t>
      </w:r>
    </w:p>
    <w:p>
      <w:pPr>
        <w:pStyle w:val="FirstParagraph"/>
      </w:pPr>
      <w:r>
        <w:t xml:space="preserve">Platinum begins this forecast after a dramatic repricing. WPIC’s May 2026 report noted that prices had found support around $2,000 per ounce and were roughly double their level in the first quarter of 2025. That observation is useful context, but it is not a normalized long-run price. The market arrived there with low visible stocks, four annual deficits, strong precious-metal sentiment, and a limited ability of mines to increase output quickly (WPIC 2026a).</w:t>
      </w:r>
    </w:p>
    <w:p>
      <w:pPr>
        <w:pStyle w:val="BodyText"/>
      </w:pPr>
      <w:r>
        <w:t xml:space="preserve">The WPIC’s May 2026 quarterly report provides the most complete public starting balance. It forecasts mine supply of 5.551 million ounces and recycling of 1.826 million ounces. Against that, it forecasts automotive demand of 2.959 million ounces, jewelry demand of 1.958 million, industrial demand of 2.238 million, and net investment demand of 519,000 ounces. The resulting 297,000-ounce deficit is much smaller than the 1.191-million-ounce deficit estimated for 2025, but it still reduces above-ground stocks to 1.747 million ounces (WPIC 2026a).</w:t>
      </w:r>
    </w:p>
    <w:p>
      <w:pPr>
        <w:pStyle w:val="BodyText"/>
      </w:pPr>
      <w:r>
        <w:t xml:space="preserve">Those numbers reveal several points that matter for the next quarter century.</w:t>
      </w:r>
    </w:p>
    <w:p>
      <w:pPr>
        <w:pStyle w:val="BodyText"/>
      </w:pPr>
      <w:r>
        <w:rPr>
          <w:b/>
          <w:bCs/>
        </w:rPr>
        <w:t xml:space="preserve">Demand is diversified, but automotive remains pivotal.</w:t>
      </w:r>
      <w:r>
        <w:t xml:space="preserve"> </w:t>
      </w:r>
      <w:r>
        <w:t xml:space="preserve">Automotive use represents about 39 percent of forecast 2026 demand. Jewelry is roughly one quarter. Industrial applications are nearly three tenths, although they include cyclical segments such as glass and chemical capacity. Investment is smaller in the 2026 forecast but can change rapidly because ETF holdings, exchange stocks, bars, and coins do not follow the service-life logic of a catalyst or medical device.</w:t>
      </w:r>
    </w:p>
    <w:p>
      <w:pPr>
        <w:pStyle w:val="BodyText"/>
      </w:pPr>
      <w:r>
        <w:rPr>
          <w:b/>
          <w:bCs/>
        </w:rPr>
        <w:t xml:space="preserve">Secondary supply is already material.</w:t>
      </w:r>
      <w:r>
        <w:t xml:space="preserve"> </w:t>
      </w:r>
      <w:r>
        <w:t xml:space="preserve">Recycling equal to 1.826 million ounces meets almost 24 percent of forecast demand. Most of that volume comes from autocatalysts, followed by jewelry and a smaller reported industrial stream. The figure understates the economic importance of closed loops in which fabricators or industrial users return platinum-bearing material directly to refiners without treating every internal movement as open-market supply.</w:t>
      </w:r>
    </w:p>
    <w:p>
      <w:pPr>
        <w:pStyle w:val="BodyText"/>
      </w:pPr>
      <w:r>
        <w:rPr>
          <w:b/>
          <w:bCs/>
        </w:rPr>
        <w:t xml:space="preserve">Mine supply did not respond quickly to price.</w:t>
      </w:r>
      <w:r>
        <w:t xml:space="preserve"> </w:t>
      </w:r>
      <w:r>
        <w:t xml:space="preserve">The 2026 forecast assumes broadly flat production despite the preceding price increase. Shafts, concentrators, smelters, and refineries cannot be expanded in months. South African operations face deep mining, electricity, water, labor, capital, and orebody constraints. New projects such as Platreef can add supply, but the small number of large projects makes their schedules disproportionately important (Valterra 2026; Implats 2026; Ivanhoe Mines 2026).</w:t>
      </w:r>
    </w:p>
    <w:p>
      <w:pPr>
        <w:pStyle w:val="BodyText"/>
      </w:pPr>
      <w:r>
        <w:rPr>
          <w:b/>
          <w:bCs/>
        </w:rPr>
        <w:t xml:space="preserve">The deficit is a balance, not a complete diagnosis.</w:t>
      </w:r>
      <w:r>
        <w:t xml:space="preserve"> </w:t>
      </w:r>
      <w:r>
        <w:t xml:space="preserve">A market can record a deficit while investment holdings are being sold, a region has available inventory, or an industrial user is well supplied under long-term contract. It can also record a surplus while specific sponge, alloy, or catalyst products are unavailable. The aggregate balance is most useful as a measure of stock draw or accumulation. It does not replace analysis of form, geography, ownership, or deliverability.</w:t>
      </w:r>
    </w:p>
    <w:p>
      <w:pPr>
        <w:pStyle w:val="BodyText"/>
      </w:pPr>
      <w:r>
        <w:t xml:space="preserve">The 2026 starting point therefore combines strength and instability. High prices support recycling and mine cash flow, but they also encourage substitution, thrift, inventory release, jewelry selling, and delayed purchases. A good long-term forecast must allow those responses to work.</w:t>
      </w:r>
    </w:p>
    <w:bookmarkEnd w:id="24"/>
    <w:bookmarkStart w:id="29" w:name="what-will-actually-be-bought-and-sold"/>
    <w:p>
      <w:pPr>
        <w:pStyle w:val="Heading2"/>
      </w:pPr>
      <w:r>
        <w:t xml:space="preserve">2. What will actually be bought and sold</w:t>
      </w:r>
    </w:p>
    <w:p>
      <w:pPr>
        <w:pStyle w:val="FirstParagraph"/>
      </w:pPr>
      <w:r>
        <w:t xml:space="preserve">The phrase</w:t>
      </w:r>
      <w:r>
        <w:t xml:space="preserve"> </w:t>
      </w:r>
      <w:r>
        <w:t xml:space="preserve">“</w:t>
      </w:r>
      <w:r>
        <w:t xml:space="preserve">buying platinum</w:t>
      </w:r>
      <w:r>
        <w:t xml:space="preserve">”</w:t>
      </w:r>
      <w:r>
        <w:t xml:space="preserve"> </w:t>
      </w:r>
      <w:r>
        <w:t xml:space="preserve">can describe transactions that have little in common. A refiner may buy a mixed PGM concentrate whose platinum content is known only after settlement assay. A glassmaker may lease metal and pay for fabrication into an alloyed bushing. A recycler may take possession of crushed autocatalyst substrate under a provisional assay. A jewelry customer may buy a finished ring at a price dominated by design and retail margin. An investor may buy a 99.95-percent bar, an ETF share, or a futures contract without ever handling metal.</w:t>
      </w:r>
    </w:p>
    <w:bookmarkStart w:id="25" w:name="Xf2144963bc30bb1594276f5b11e176e343037c4"/>
    <w:p>
      <w:pPr>
        <w:pStyle w:val="Heading3"/>
      </w:pPr>
      <w:r>
        <w:t xml:space="preserve">Mine products, concentrates, and PGM baskets</w:t>
      </w:r>
    </w:p>
    <w:p>
      <w:pPr>
        <w:pStyle w:val="FirstParagraph"/>
      </w:pPr>
      <w:r>
        <w:t xml:space="preserve">Most platinum is not mined as a pure metal. South African ores commonly yield platinum with palladium, rhodium, ruthenium, iridium, gold, nickel, copper, and other payable or penalty elements. Russian supply is strongly connected to nickel-copper production. The sale may therefore be based on a PGM basket, a concentrate, or an intermediate product rather than a standalone platinum price.</w:t>
      </w:r>
    </w:p>
    <w:p>
      <w:pPr>
        <w:pStyle w:val="BodyText"/>
      </w:pPr>
      <w:r>
        <w:t xml:space="preserve">A simplified mine settlement can be expressed as:</w:t>
      </w:r>
    </w:p>
    <w:p>
      <w:pPr>
        <w:pStyle w:val="BodyText"/>
      </w:pPr>
      <w:r>
        <w:rPr>
          <w:rStyle w:val="VerbatimChar"/>
        </w:rPr>
        <w:t xml:space="preserve">payable metal value = sum of (assayed metal quantity x contractual payability x reference price) - treatment, refining, transport, financing, and penalty charges</w:t>
      </w:r>
    </w:p>
    <w:p>
      <w:pPr>
        <w:pStyle w:val="BodyText"/>
      </w:pPr>
      <w:r>
        <w:t xml:space="preserve">The formula looks simple but depends on sampling and assay protocols, quotational periods, provisional payments, metal-account adjustments, minimum deductions, and the treatment of by-products. Over the forecast period, digital chain-of-custody records and faster assay may reduce disputes, but the economic core will remain: the seller is paid for recoverable, contractually payable metal rather than gross ore weight.</w:t>
      </w:r>
    </w:p>
    <w:bookmarkEnd w:id="25"/>
    <w:bookmarkStart w:id="26" w:name="X5bbe9a92dd398f449d9a32b81d7ee05b7585be1"/>
    <w:p>
      <w:pPr>
        <w:pStyle w:val="Heading3"/>
      </w:pPr>
      <w:r>
        <w:t xml:space="preserve">Sponge, plate, ingot, powder, and fabricated products</w:t>
      </w:r>
    </w:p>
    <w:p>
      <w:pPr>
        <w:pStyle w:val="FirstParagraph"/>
      </w:pPr>
      <w:r>
        <w:t xml:space="preserve">LPPM Good Delivery rules apply to standard plates and ingots between one and six kilograms and to approved refiners that pass technical and responsible-sourcing requirements. London OTC practice normally quotes U.S. dollars per troy ounce for spot settlement two business days after trade, with normal wholesale units of 500 to 1,000 ounces of Good Delivery metal (LPPM 2026b, 2026c, 2026d).</w:t>
      </w:r>
    </w:p>
    <w:p>
      <w:pPr>
        <w:pStyle w:val="BodyText"/>
      </w:pPr>
      <w:r>
        <w:t xml:space="preserve">Industrial users often require something else. Catalyst makers buy sponge or powder with controlled particle and impurity characteristics. Chemical plants use gauze, mesh, salts, or supported catalysts. Glassmakers require platinum-rhodium equipment engineered for temperature, strength, and corrosion resistance. Medical and electrical manufacturers buy small, exact components. These products are priced from the metal value plus fabrication, engineering, quality assurance, inventory financing, scrap return, and sometimes metal leasing.</w:t>
      </w:r>
    </w:p>
    <w:p>
      <w:pPr>
        <w:pStyle w:val="BodyText"/>
      </w:pPr>
      <w:r>
        <w:t xml:space="preserve">The distinction will grow in importance. A shortage of generic ounces does not automatically produce a shortage of every fabricated product, and sufficient global ounces do not guarantee that a qualified fabricator has capacity. Buyers in 2051 are likely to monitor both metal and conversion capacity.</w:t>
      </w:r>
    </w:p>
    <w:bookmarkEnd w:id="26"/>
    <w:bookmarkStart w:id="27" w:name="autocatalyst-and-industrial-scrap"/>
    <w:p>
      <w:pPr>
        <w:pStyle w:val="Heading3"/>
      </w:pPr>
      <w:r>
        <w:t xml:space="preserve">Autocatalyst and industrial scrap</w:t>
      </w:r>
    </w:p>
    <w:p>
      <w:pPr>
        <w:pStyle w:val="FirstParagraph"/>
      </w:pPr>
      <w:r>
        <w:t xml:space="preserve">A spent catalytic converter is not a miniature bar. Platinum, palladium, and rhodium are dispersed through a ceramic or metallic substrate, and loadings vary by vehicle model, market, engine, age, and catalyst position. Collectors can sell converters by piece using code databases, by sampled lot, or after decanning and homogenization. The most defensible settlement is based on representative sampling, independent or agreed assay, documented recovery, and a stated payability schedule.</w:t>
      </w:r>
    </w:p>
    <w:p>
      <w:pPr>
        <w:pStyle w:val="BodyText"/>
      </w:pPr>
      <w:r>
        <w:t xml:space="preserve">A simplified refinery settlement is:</w:t>
      </w:r>
    </w:p>
    <w:p>
      <w:pPr>
        <w:pStyle w:val="BodyText"/>
      </w:pPr>
      <w:r>
        <w:rPr>
          <w:rStyle w:val="VerbatimChar"/>
        </w:rPr>
        <w:t xml:space="preserve">net payment = fine recoverable ounces x agreed benchmark average x payable percentage - assay, refining, treatment, freight, finance, and other charges</w:t>
      </w:r>
    </w:p>
    <w:p>
      <w:pPr>
        <w:pStyle w:val="BodyText"/>
      </w:pPr>
      <w:r>
        <w:t xml:space="preserve">The benchmark may be averaged over a quotational period to reduce timing risk. Sellers should compare the full net settlement, not only the advertised payable percentage. A buyer offering 95 percent of value with opaque assay and high charges can pay less than a buyer offering 90 percent with better sampling, faster settlement, and lower deductions.</w:t>
      </w:r>
    </w:p>
    <w:p>
      <w:pPr>
        <w:pStyle w:val="BodyText"/>
      </w:pPr>
      <w:r>
        <w:t xml:space="preserve">Industrial catalyst scrap is often managed through closed-loop or toll-refining arrangements. The owner retains title to metal, the refiner recovers it, and the account is credited with returned ounces after agreed losses and charges. This model will expand as hydrogen and specialized catalysts create new high-value scrap streams.</w:t>
      </w:r>
    </w:p>
    <w:bookmarkEnd w:id="27"/>
    <w:bookmarkStart w:id="28" w:name="jewelry-bullion-etfs-and-futures"/>
    <w:p>
      <w:pPr>
        <w:pStyle w:val="Heading3"/>
      </w:pPr>
      <w:r>
        <w:t xml:space="preserve">Jewelry, bullion, ETFs, and futures</w:t>
      </w:r>
    </w:p>
    <w:p>
      <w:pPr>
        <w:pStyle w:val="FirstParagraph"/>
      </w:pPr>
      <w:r>
        <w:t xml:space="preserve">Platinum jewelry can trade as melt, branded finished product, estate jewelry, or collectible design. Hallmarks indicate fineness but do not eliminate the need for testing. The seller’s value may be below benchmark after refining and retail deductions, or well above melt when craftsmanship, provenance, brand, or rarity matters. FTC rules in the United States and assay-office systems in several countries govern how platinum fineness is represented (FTC 2010; Electronic Code of Federal Regulations 2026).</w:t>
      </w:r>
    </w:p>
    <w:p>
      <w:pPr>
        <w:pStyle w:val="BodyText"/>
      </w:pPr>
      <w:r>
        <w:t xml:space="preserve">Bullion bars and coins make ownership more legible. Yet premiums, liquidity, storage, insurance, dealer spreads, taxes, and product recognition determine the investor’s outcome. Physically backed exchange-traded products provide exposure with custody and fund-level fees. Futures provide leverage, price discovery, and hedging but introduce margin and basis risk. The CME contract calls for 50 troy ounces of minimum 99.95-percent platinum in approved form, while Japan’s standard futures contract is 500 grams and physically delivered (CME 2026; JPX 2026).</w:t>
      </w:r>
    </w:p>
    <w:p>
      <w:pPr>
        <w:pStyle w:val="BodyText"/>
      </w:pPr>
      <w:r>
        <w:t xml:space="preserve">These markets will become more interconnected, not identical. China-based futures can increase regional price discovery. London will remain important for OTC benchmark and vault settlement. New products may reduce minimum trade size. None of them eliminates the need to understand what the contract actually delivers.</w:t>
      </w:r>
    </w:p>
    <w:bookmarkEnd w:id="28"/>
    <w:bookmarkEnd w:id="29"/>
    <w:bookmarkStart w:id="34" w:name="the-automotive-transition"/>
    <w:p>
      <w:pPr>
        <w:pStyle w:val="Heading2"/>
      </w:pPr>
      <w:r>
        <w:t xml:space="preserve">3. The automotive transition</w:t>
      </w:r>
    </w:p>
    <w:p>
      <w:pPr>
        <w:pStyle w:val="FirstParagraph"/>
      </w:pPr>
      <w:r>
        <w:t xml:space="preserve">The automotive sector creates the widest range of plausible platinum outcomes. A battery-electric vehicle has no tailpipe and therefore no exhaust catalyst. A gasoline, diesel, hybrid, or range-extended vehicle still has an engine and emission-control system. Heavy-duty trucks, buses, construction equipment, generators, marine engines, and non-road machinery follow different duty cycles and replacement schedules from passenger cars.</w:t>
      </w:r>
    </w:p>
    <w:p>
      <w:pPr>
        <w:pStyle w:val="BodyText"/>
      </w:pPr>
      <w:r>
        <w:t xml:space="preserve">The IEA expected more than 23 million electric cars to be sold in 2026, about 28 percent of global new-car sales. Its outlook points to continuing growth through 2035, but regional adoption differs sharply because vehicle prices, charging, electricity systems, industrial policy, trade barriers, and consumer preferences differ (IEA 2026a). A global sales share therefore cannot be converted directly into a single platinum number.</w:t>
      </w:r>
    </w:p>
    <w:bookmarkStart w:id="30" w:name="X062de34d8b9cea56d7410d835125d3566024c4e"/>
    <w:p>
      <w:pPr>
        <w:pStyle w:val="Heading3"/>
      </w:pPr>
      <w:r>
        <w:t xml:space="preserve">Why battery-electric growth reduces autocatalyst demand</w:t>
      </w:r>
    </w:p>
    <w:p>
      <w:pPr>
        <w:pStyle w:val="FirstParagraph"/>
      </w:pPr>
      <w:r>
        <w:t xml:space="preserve">The direct effect is straightforward. As battery-electric vehicles replace combustion vehicles, new demand for platinum, palladium, and rhodium in exhaust after-treatment falls. The effect first appears in new catalyst fabrication, not immediately in recycling. Converters from vehicles sold in the 2010s and 2020s continue to reach scrapyards for years. This creates a period in which new automotive demand falls while secondary supply remains high or even rises.</w:t>
      </w:r>
    </w:p>
    <w:p>
      <w:pPr>
        <w:pStyle w:val="BodyText"/>
      </w:pPr>
      <w:r>
        <w:t xml:space="preserve">The lag matters for price. A fast BEV transition can create a double pressure during the 2030s: lower new autocatalyst demand and plentiful old autocatalyst feed. Later, the recycling reservoir shrinks because fewer new converters were installed. The market then becomes more dependent on mine supply, industrial scrap, jewelry, and hydrogen equipment even if total demand is lower.</w:t>
      </w:r>
    </w:p>
    <w:bookmarkEnd w:id="30"/>
    <w:bookmarkStart w:id="31" w:name="why-hybrids-can-extend-the-market"/>
    <w:p>
      <w:pPr>
        <w:pStyle w:val="Heading3"/>
      </w:pPr>
      <w:r>
        <w:t xml:space="preserve">Why hybrids can extend the market</w:t>
      </w:r>
    </w:p>
    <w:p>
      <w:pPr>
        <w:pStyle w:val="FirstParagraph"/>
      </w:pPr>
      <w:r>
        <w:t xml:space="preserve">Hybrids combine electric drive with an engine. Some operate the engine intermittently, at lower exhaust temperatures, or under start-stop conditions that complicate emissions control. Catalyst loadings depend on engineering, regulation, vehicle size, fuel, and system architecture, so it is wrong to assume that every hybrid uses either more or less PGM than a conventional vehicle. What matters is that a hybrid still requires a catalyst.</w:t>
      </w:r>
    </w:p>
    <w:p>
      <w:pPr>
        <w:pStyle w:val="BodyText"/>
      </w:pPr>
      <w:r>
        <w:t xml:space="preserve">The strong hybrid and range-extender sales seen in several markets during the mid-2020s lengthen the transition. They also make it less linear. A manufacturer may use hybrids as a compliance bridge where charging is constrained or full battery vehicles remain expensive. If hybrids maintain a large share into the 2030s, platinum automotive demand declines more slowly than a BEV-only narrative suggests.</w:t>
      </w:r>
    </w:p>
    <w:bookmarkEnd w:id="31"/>
    <w:bookmarkStart w:id="32" w:name="X1a5f20b9ff996f2ce26a474ce835a6ad6406bad"/>
    <w:p>
      <w:pPr>
        <w:pStyle w:val="Heading3"/>
      </w:pPr>
      <w:r>
        <w:t xml:space="preserve">Emissions rules can raise loadings even as engine sales fall</w:t>
      </w:r>
    </w:p>
    <w:p>
      <w:pPr>
        <w:pStyle w:val="FirstParagraph"/>
      </w:pPr>
      <w:r>
        <w:t xml:space="preserve">Euro 7 and U.S. model-year 2027 criteria-pollutant rules tighten or extend requirements for several pollutants and operating conditions. U.S. heavy-duty standards require lower traditional-pollutant emissions over a longer useful life. The federal policy path is not linear: in February 2026 the EPA rescinded highway greenhouse-gas standards, while explicitly stating that the action did not affect regulations for traditional air pollutants. Stricter tailpipe-pollutant rules can increase catalyst complexity or metal loading, although automakers and catalyst companies continuously improve washcoats, thermal management, sensors, and catalyst efficiency (European Union 2024b; EPA 2022, 2026).</w:t>
      </w:r>
    </w:p>
    <w:p>
      <w:pPr>
        <w:pStyle w:val="BodyText"/>
      </w:pPr>
      <w:r>
        <w:t xml:space="preserve">The commercial tension is therefore between fewer catalyst-equipped vehicles and more demanding performance per equipped vehicle. That tension differs by region. Emerging markets may tighten emissions standards while still expanding vehicle fleets. Mature markets may electrify faster but retain large heavy-duty and non-road segments. Platinum buyers should track engine production by technology and jurisdiction, not just global passenger-car totals.</w:t>
      </w:r>
    </w:p>
    <w:bookmarkEnd w:id="32"/>
    <w:bookmarkStart w:id="33" w:name="X62d552d77e6eab18abfe5c5b740883da084fa1d"/>
    <w:p>
      <w:pPr>
        <w:pStyle w:val="Heading3"/>
      </w:pPr>
      <w:r>
        <w:t xml:space="preserve">Platinum-palladium substitution remains cyclical</w:t>
      </w:r>
    </w:p>
    <w:p>
      <w:pPr>
        <w:pStyle w:val="FirstParagraph"/>
      </w:pPr>
      <w:r>
        <w:t xml:space="preserve">Platinum, palladium, and rhodium are not perfectly interchangeable, but catalyst formulations can change within technical limits. The large palladium premium of the early 2020s encouraged substitution toward platinum in gasoline applications. A later reversal in relative prices can slow or reverse that process. Engineers also consider durability, emissions chemistry, availability, validation cost, and the risk that a substitution saves money today but creates a future supply concentration.</w:t>
      </w:r>
    </w:p>
    <w:p>
      <w:pPr>
        <w:pStyle w:val="BodyText"/>
      </w:pPr>
      <w:r>
        <w:t xml:space="preserve">Because mines produce several PGMs together, substitution can move demand faster than supply. This is one reason PGM prices can overshoot. A buyer that treats platinum in isolation may miss the signal coming from palladium or rhodium.</w:t>
      </w:r>
    </w:p>
    <w:p>
      <w:pPr>
        <w:pStyle w:val="BodyText"/>
      </w:pPr>
      <w:r>
        <w:t xml:space="preserve">In the central scenario, conventional automotive platinum demand declines materially through 2051 but does not disappear. In the low-demand scenario it contracts quickly as BEVs dominate and catalyst loading falls. In the high-demand scenario, hybrids, heavy-duty engines, non-road uses, stricter standards, and platinum substitution preserve a larger base until hydrogen demand becomes material.</w:t>
      </w:r>
    </w:p>
    <w:bookmarkEnd w:id="33"/>
    <w:bookmarkEnd w:id="34"/>
    <w:bookmarkStart w:id="39" w:name="hydrogen-fuel-cells-and-electrolysis"/>
    <w:p>
      <w:pPr>
        <w:pStyle w:val="Heading2"/>
      </w:pPr>
      <w:r>
        <w:t xml:space="preserve">4. Hydrogen, fuel cells, and electrolysis</w:t>
      </w:r>
    </w:p>
    <w:p>
      <w:pPr>
        <w:pStyle w:val="FirstParagraph"/>
      </w:pPr>
      <w:r>
        <w:t xml:space="preserve">Hydrogen is platinum’s most discussed growth market and its most easily exaggerated one. Platinum is used in proton-exchange-membrane fuel cells and on the cathode side of PEM water electrolysers. Those technologies offer fast response, compact equipment, and high power density, but they compete with alkaline, anion-exchange, solid-oxide, batteries, direct electrification, and other ways of providing energy services.</w:t>
      </w:r>
    </w:p>
    <w:p>
      <w:pPr>
        <w:pStyle w:val="BodyText"/>
      </w:pPr>
      <w:r>
        <w:t xml:space="preserve">The IEA’s Global Hydrogen Review 2026 grounds the discussion. Global hydrogen demand exceeded 100 million tonnes in 2025, but most was conventional hydrogen used in refining and industry. Low-emissions hydrogen production was around one million tonnes and was expected to exceed one percent of total production in 2026. The announced 2030 low-emissions production pipeline had shrunk to 27 million tonnes, while committed projects and those with strong potential amounted to just over six million tonnes (IEA 2026b).</w:t>
      </w:r>
    </w:p>
    <w:p>
      <w:pPr>
        <w:pStyle w:val="BodyText"/>
      </w:pPr>
      <w:r>
        <w:t xml:space="preserve">That difference between announcements and committed capacity is the first constraint on platinum demand. An electrolyzer press release is not a purchase order. Projects require cheap power, water, equipment, finance, permitting, transmission, offtake, storage, and transport. Many announced projects will be delayed, resized, or canceled.</w:t>
      </w:r>
    </w:p>
    <w:bookmarkStart w:id="35" w:name="Xcbfb05e2684385996542802bce2e5440c3b60ac"/>
    <w:p>
      <w:pPr>
        <w:pStyle w:val="Heading3"/>
      </w:pPr>
      <w:r>
        <w:t xml:space="preserve">PEM electrolysis: large scale, lower metal intensity</w:t>
      </w:r>
    </w:p>
    <w:p>
      <w:pPr>
        <w:pStyle w:val="FirstParagraph"/>
      </w:pPr>
      <w:r>
        <w:t xml:space="preserve">PEM electrolysers use iridium at the anode and platinum at the cathode. The U.S. Department of Energy’s technical targets illustrate the pressure to reduce total PGM content from a 2022 status of 0.8 grams per kilowatt to 0.1 g/kW as a 2026 target and 0.03 g/kW as an ultimate target (DOE 2026a). Platinum is only part of that PGM loading, so gigawatts of capacity cannot be multiplied by an old platinum intensity without adjustment.</w:t>
      </w:r>
    </w:p>
    <w:p>
      <w:pPr>
        <w:pStyle w:val="BodyText"/>
      </w:pPr>
      <w:r>
        <w:t xml:space="preserve">This thrift is not bearish in every case. Lower metal intensity can make PEM systems cheaper and allow more capacity to be deployed. The total platinum result equals installed capacity multiplied by platinum per kilowatt, adjusted for manufacturing yield, replacement, recycling, and technology share. A tenfold increase in capacity with a fivefold reduction in loading still increases demand. A tenfold increase with a tenfold reduction does not.</w:t>
      </w:r>
    </w:p>
    <w:bookmarkEnd w:id="35"/>
    <w:bookmarkStart w:id="36" w:name="X815352b626b81f823c68354c44050785a5b689c"/>
    <w:p>
      <w:pPr>
        <w:pStyle w:val="Heading3"/>
      </w:pPr>
      <w:r>
        <w:t xml:space="preserve">Fuel cells: passenger cars are not the only market</w:t>
      </w:r>
    </w:p>
    <w:p>
      <w:pPr>
        <w:pStyle w:val="FirstParagraph"/>
      </w:pPr>
      <w:r>
        <w:t xml:space="preserve">PEM fuel cells also use platinum catalysts. Passenger fuel-cell vehicles remain a small market relative to battery-electric cars. The IEA reported a global fuel-cell vehicle stock of about 130,000 in 2025 and expected it to roughly triple by 2030, with trucks and buses taking a larger share of hydrogen consumption (IEA 2026b). Heavy-duty vehicles, port equipment, mining trucks, rail, marine, backup power, and stationary systems may be more important than passenger cars because fast refueling, long duty cycles, and high utilization can justify hydrogen infrastructure.</w:t>
      </w:r>
    </w:p>
    <w:p>
      <w:pPr>
        <w:pStyle w:val="BodyText"/>
      </w:pPr>
      <w:r>
        <w:t xml:space="preserve">DOE fuel-cell targets likewise push total PGM content and loading downward. Performance and durability must improve at the same time, especially for heavy-duty use. A cheaper, longer-lived stack can expand the addressable market even as it uses fewer grams per kilowatt (DOE 2026b).</w:t>
      </w:r>
    </w:p>
    <w:bookmarkEnd w:id="36"/>
    <w:bookmarkStart w:id="37" w:name="Xc89ac8cf1821515eb2133c5ee424ca692987058"/>
    <w:p>
      <w:pPr>
        <w:pStyle w:val="Heading3"/>
      </w:pPr>
      <w:r>
        <w:t xml:space="preserve">Replacement and recovery change the lifetime demand</w:t>
      </w:r>
    </w:p>
    <w:p>
      <w:pPr>
        <w:pStyle w:val="FirstParagraph"/>
      </w:pPr>
      <w:r>
        <w:t xml:space="preserve">Hydrogen equipment creates two demand events: initial installation and replacement. Stack life, duty cycle, degradation, and refurbishment determine how often platinum returns for recovery. Mature systems are likely to be designed around metal accounts and closed-loop refining because the value is too high to discard. This makes hydrogen demand less like dispersed consumer electronics and more like industrial catalyst demand.</w:t>
      </w:r>
    </w:p>
    <w:p>
      <w:pPr>
        <w:pStyle w:val="BodyText"/>
      </w:pPr>
      <w:r>
        <w:t xml:space="preserve">A buyer may lease platinum to a stack manufacturer, retain title through the product life, and receive recovered metal at replacement. That arrangement lowers working capital and secures feedstock. It also means gross platinum use can be much larger than net primary demand.</w:t>
      </w:r>
    </w:p>
    <w:bookmarkEnd w:id="37"/>
    <w:bookmarkStart w:id="38" w:name="the-correct-forecast-treatment"/>
    <w:p>
      <w:pPr>
        <w:pStyle w:val="Heading3"/>
      </w:pPr>
      <w:r>
        <w:t xml:space="preserve">The correct forecast treatment</w:t>
      </w:r>
    </w:p>
    <w:p>
      <w:pPr>
        <w:pStyle w:val="FirstParagraph"/>
      </w:pPr>
      <w:r>
        <w:t xml:space="preserve">This report does not assume that hydrogen replaces every lost autocatalyst ounce by 2030. It assigns hydrogen a small but growing role in the central case, a limited role in the battery-dominance case, and a major role in the high-demand case. The decisive signposts are not national hydrogen targets alone. They are final investment decisions, installed PEM gigawatts, fuel-cell system shipments, platinum loading per kilowatt, equipment lifetime, and demonstrated recovery.</w:t>
      </w:r>
    </w:p>
    <w:bookmarkEnd w:id="38"/>
    <w:bookmarkEnd w:id="39"/>
    <w:bookmarkStart w:id="44" w:name="Xe9a6b799fe403a1172ead1a7ccb256730c11d2b"/>
    <w:p>
      <w:pPr>
        <w:pStyle w:val="Heading2"/>
      </w:pPr>
      <w:r>
        <w:t xml:space="preserve">5. Industrial, medical, electrical, and digital demand</w:t>
      </w:r>
    </w:p>
    <w:p>
      <w:pPr>
        <w:pStyle w:val="FirstParagraph"/>
      </w:pPr>
      <w:r>
        <w:t xml:space="preserve">Industrial platinum demand is diverse enough to provide resilience and cyclical enough to create surprises. The 2026 WPIC forecast allocates 2.238 million ounces to industrial uses, including chemical, petroleum, electrical, glass, medical, hydrogen, and other applications. Glass demand is particularly volatile because new production lines and rebuilds can create large one-time metal purchases, followed by metal returns when equipment is replaced (WPIC 2026a).</w:t>
      </w:r>
    </w:p>
    <w:bookmarkStart w:id="40" w:name="chemical-and-petroleum-catalysts"/>
    <w:p>
      <w:pPr>
        <w:pStyle w:val="Heading3"/>
      </w:pPr>
      <w:r>
        <w:t xml:space="preserve">Chemical and petroleum catalysts</w:t>
      </w:r>
    </w:p>
    <w:p>
      <w:pPr>
        <w:pStyle w:val="FirstParagraph"/>
      </w:pPr>
      <w:r>
        <w:t xml:space="preserve">Platinum catalyzes reactions in nitric acid, silicones, specialty chemicals, petroleum refining, and other processes. The metal can be present in gauze, pellets, powders, salts, or supported catalyst systems. Demand responds to plant construction, utilization, maintenance, process design, and the ability to recover spent catalyst.</w:t>
      </w:r>
    </w:p>
    <w:p>
      <w:pPr>
        <w:pStyle w:val="BodyText"/>
      </w:pPr>
      <w:r>
        <w:t xml:space="preserve">These markets are not simply proportional to global GDP. A new chemical complex can create a concentrated metal requirement. A technology shift can eliminate it. Refinery demand may decline in regions where oil processing contracts, while petrochemical and specialty-chemical demand grows elsewhere. Longer catalyst life reduces annual purchases but may improve economics and encourage adoption.</w:t>
      </w:r>
    </w:p>
    <w:p>
      <w:pPr>
        <w:pStyle w:val="BodyText"/>
      </w:pPr>
      <w:r>
        <w:t xml:space="preserve">The commercial model often centers on a metal account. The user pays for fabrication, conversion, leasing or financing, and process losses while retaining or returning metal. This structure is likely to spread because it isolates the cost of platinum from the cost of the technical service.</w:t>
      </w:r>
    </w:p>
    <w:bookmarkEnd w:id="40"/>
    <w:bookmarkStart w:id="41" w:name="glass-and-high-temperature-equipment"/>
    <w:p>
      <w:pPr>
        <w:pStyle w:val="Heading3"/>
      </w:pPr>
      <w:r>
        <w:t xml:space="preserve">Glass and high-temperature equipment</w:t>
      </w:r>
    </w:p>
    <w:p>
      <w:pPr>
        <w:pStyle w:val="FirstParagraph"/>
      </w:pPr>
      <w:r>
        <w:t xml:space="preserve">Platinum and platinum-rhodium alloys resist molten glass and high temperatures, making them valuable for bushings, stirrers, channels, and crucibles used in specialty glass and fiberglass. Display glass, optical fiber, construction materials, and industrial glass can create demand. Fabrication capacity and alloy expertise matter as much as raw metal.</w:t>
      </w:r>
    </w:p>
    <w:p>
      <w:pPr>
        <w:pStyle w:val="BodyText"/>
      </w:pPr>
      <w:r>
        <w:t xml:space="preserve">The metal is recoverable at the end of a campaign, but losses occur through wear, contamination, and handling. Higher prices increase the incentive to improve capture and account reconciliation. In a tight market, a glass producer with a closed-loop relationship and adequate leased metal is in a stronger position than one relying on spot fabrication.</w:t>
      </w:r>
    </w:p>
    <w:bookmarkEnd w:id="41"/>
    <w:bookmarkStart w:id="42" w:name="medical-and-electrical-uses"/>
    <w:p>
      <w:pPr>
        <w:pStyle w:val="Heading3"/>
      </w:pPr>
      <w:r>
        <w:t xml:space="preserve">Medical and electrical uses</w:t>
      </w:r>
    </w:p>
    <w:p>
      <w:pPr>
        <w:pStyle w:val="FirstParagraph"/>
      </w:pPr>
      <w:r>
        <w:t xml:space="preserve">Platinum is used in electrodes, catheters, implants, cancer drugs, sensors, thermocouples, spark plugs, hard disks, and specialized electronic components. Many applications use small quantities because no cheaper material matches the required combination of biocompatibility, corrosion resistance, conductivity, catalytic behavior, or temperature stability (Hughes et al. 2021; USGS 2014).</w:t>
      </w:r>
    </w:p>
    <w:p>
      <w:pPr>
        <w:pStyle w:val="BodyText"/>
      </w:pPr>
      <w:r>
        <w:t xml:space="preserve">Medical demand can grow with aging populations and expanding access to care, but individual devices can become more efficient. Electrical demand can rise through data storage, sensors, and high-reliability electronics while miniaturization reduces metal per device. The outcome is gradual rather than explosive unless a new mass-market application appears.</w:t>
      </w:r>
    </w:p>
    <w:bookmarkEnd w:id="42"/>
    <w:bookmarkStart w:id="43" w:name="X86633e2229915f93ee37b32d7f47e0e41121f2e"/>
    <w:p>
      <w:pPr>
        <w:pStyle w:val="Heading3"/>
      </w:pPr>
      <w:r>
        <w:t xml:space="preserve">Artificial intelligence and digital infrastructure</w:t>
      </w:r>
    </w:p>
    <w:p>
      <w:pPr>
        <w:pStyle w:val="FirstParagraph"/>
      </w:pPr>
      <w:r>
        <w:t xml:space="preserve">Platinum producers increasingly discuss AI infrastructure through its demand for specialty glass, fiber optics, data storage, semiconductors, sensors, backup power, and possibly fuel cells. The connection is plausible but indirect. A data center does not contain platinum in the way a copper-intensive substation does. Most platinum demand arrives through manufacturing equipment and specialized components, and efficiency gains can offset volume.</w:t>
      </w:r>
    </w:p>
    <w:p>
      <w:pPr>
        <w:pStyle w:val="BodyText"/>
      </w:pPr>
      <w:r>
        <w:t xml:space="preserve">The prudent forecast treats digital infrastructure as a supporting industrial driver, not a standalone reason for a multiyear shortage. Company estimates can identify potential applications, but independent adoption data must follow. The high-demand scenario allows for stronger digital and specialty-glass use; the central scenario assumes moderate growth; the low scenario assumes thrift and substitution absorb much of it.</w:t>
      </w:r>
    </w:p>
    <w:p>
      <w:pPr>
        <w:pStyle w:val="BodyText"/>
      </w:pPr>
      <w:r>
        <w:t xml:space="preserve">Industrial demand’s strategic value lies in its diversity. No single application replaces the scale of autocatalysts, but several smaller uses can keep platinum essential even if road transport changes radically.</w:t>
      </w:r>
    </w:p>
    <w:bookmarkEnd w:id="43"/>
    <w:bookmarkEnd w:id="44"/>
    <w:bookmarkStart w:id="49" w:name="jewelry-and-investment-demand"/>
    <w:p>
      <w:pPr>
        <w:pStyle w:val="Heading2"/>
      </w:pPr>
      <w:r>
        <w:t xml:space="preserve">6. Jewelry and investment demand</w:t>
      </w:r>
    </w:p>
    <w:p>
      <w:pPr>
        <w:pStyle w:val="FirstParagraph"/>
      </w:pPr>
      <w:r>
        <w:t xml:space="preserve">Jewelry and investment make platinum different from a purely industrial catalyst metal. Both can absorb ounces when industrial demand is weak, release ounces when prices rise, and change quickly when consumers compare platinum with gold. They also create very different resale markets.</w:t>
      </w:r>
    </w:p>
    <w:bookmarkStart w:id="45" w:name="X89a615072c8a107c1d41a8e7a3565cfc651a200"/>
    <w:p>
      <w:pPr>
        <w:pStyle w:val="Heading3"/>
      </w:pPr>
      <w:r>
        <w:t xml:space="preserve">Jewelry demand is shaped by relative value</w:t>
      </w:r>
    </w:p>
    <w:p>
      <w:pPr>
        <w:pStyle w:val="FirstParagraph"/>
      </w:pPr>
      <w:r>
        <w:t xml:space="preserve">Platinum’s jewelry appeal rests on density, whiteness, durability, rarity, and its ability to hold stones securely. Its weakness is that consumers often recognize gold more readily, platinum is harder to fabricate, and retail inventory ties up expensive metal. Demand has historically been concentrated in China and Japan, with important markets in North America, India, and Europe. Platinum Guild International’s marketing work reflects the continuing need to explain the metal rather than assume universal recognition (Platinum Guild International 2026).</w:t>
      </w:r>
    </w:p>
    <w:p>
      <w:pPr>
        <w:pStyle w:val="BodyText"/>
      </w:pPr>
      <w:r>
        <w:t xml:space="preserve">Relative price matters. When gold trades far above platinum, manufacturers can present platinum as a premium white metal at a competitive metal cost. That spread does not automatically translate into retail value because a platinum piece may be heavier and fabrication may cost more. When platinum itself rises sharply, jewelers may reduce stock, use lighter designs, promote exchange programs, or recycle old pieces.</w:t>
      </w:r>
    </w:p>
    <w:p>
      <w:pPr>
        <w:pStyle w:val="BodyText"/>
      </w:pPr>
      <w:r>
        <w:t xml:space="preserve">The 2026 WPIC forecast cuts jewelry demand by 12 percent to 1.958 million ounces after the price increase. That response is a reminder that high prices support miners and recyclers while weakening fabrication demand. Over twenty-five years, income growth in India and other emerging markets could broaden the customer base, but jewelry will compete with gold, lab-grown diamonds, branded fashion, and changing marriage customs (WPIC 2026a).</w:t>
      </w:r>
    </w:p>
    <w:bookmarkEnd w:id="45"/>
    <w:bookmarkStart w:id="46" w:name="Xd1dce4b60e4eeb7f08fa07af696d5f4b79b2c84"/>
    <w:p>
      <w:pPr>
        <w:pStyle w:val="Heading3"/>
      </w:pPr>
      <w:r>
        <w:t xml:space="preserve">Resale value depends on what is being sold</w:t>
      </w:r>
    </w:p>
    <w:p>
      <w:pPr>
        <w:pStyle w:val="FirstParagraph"/>
      </w:pPr>
      <w:r>
        <w:t xml:space="preserve">A plain platinum ring with no collector value is usually sold on fine-metal content after testing and refining deductions. A signed jewel, important design, antique object, or rare watch case may be worth more intact. The first step is therefore classification: is the object refinery feed, reusable stock, estate jewelry, or a collectible?</w:t>
      </w:r>
    </w:p>
    <w:p>
      <w:pPr>
        <w:pStyle w:val="BodyText"/>
      </w:pPr>
      <w:r>
        <w:t xml:space="preserve">A simplified melt estimate is:</w:t>
      </w:r>
    </w:p>
    <w:p>
      <w:pPr>
        <w:pStyle w:val="BodyText"/>
      </w:pPr>
      <w:r>
        <w:rPr>
          <w:rStyle w:val="VerbatimChar"/>
        </w:rPr>
        <w:t xml:space="preserve">estimated melt value = gross weight x tested fineness x reference platinum price</w:t>
      </w:r>
    </w:p>
    <w:p>
      <w:pPr>
        <w:pStyle w:val="BodyText"/>
      </w:pPr>
      <w:r>
        <w:t xml:space="preserve">The seller’s cash payment is lower after stones, non-platinum parts, uncertainty, refining, margin, and payment timing. Some retail programs offer store credit above cash melt because the seller is also purchasing a new item. That is a commercial promotion, not a higher refinery recovery.</w:t>
      </w:r>
    </w:p>
    <w:p>
      <w:pPr>
        <w:pStyle w:val="BodyText"/>
      </w:pPr>
      <w:r>
        <w:t xml:space="preserve">Future sellers will benefit from better handheld analysis and more transparent digital quotations, but testing will remain necessary. Platinum alloys can contain cobalt, ruthenium, iridium, copper, or other metals. Marks can be worn, foreign, misunderstood, or fraudulent. Online price calculators that assume every white ring is 95 percent platinum will continue to mislead.</w:t>
      </w:r>
    </w:p>
    <w:bookmarkEnd w:id="46"/>
    <w:bookmarkStart w:id="47" w:name="investment-demand-is-a-swing-factor"/>
    <w:p>
      <w:pPr>
        <w:pStyle w:val="Heading3"/>
      </w:pPr>
      <w:r>
        <w:t xml:space="preserve">Investment demand is a swing factor</w:t>
      </w:r>
    </w:p>
    <w:p>
      <w:pPr>
        <w:pStyle w:val="FirstParagraph"/>
      </w:pPr>
      <w:r>
        <w:t xml:space="preserve">Investment includes bars, coins, physically backed exchange-traded funds, exchange stocks, and other holdings. It can move from large inflow to net outflow without waiting for a physical asset to wear out. WPIC estimates investment demand of 1.136 million ounces in 2025 and only 519,000 ounces in 2026, partly because ETF and exchange-stock changes reverse while bar and coin demand remains strong (WPIC 2026a).</w:t>
      </w:r>
    </w:p>
    <w:p>
      <w:pPr>
        <w:pStyle w:val="BodyText"/>
      </w:pPr>
      <w:r>
        <w:t xml:space="preserve">That volatility can dominate a small annual deficit. A fund buying 500,000 ounces removes more metal than several specialized industrial applications use. Liquidation returns metal without mining or recycling. Investment demand therefore acts as both demand and inventory.</w:t>
      </w:r>
    </w:p>
    <w:p>
      <w:pPr>
        <w:pStyle w:val="BodyText"/>
      </w:pPr>
      <w:r>
        <w:t xml:space="preserve">The abrdn Physical Platinum Shares ETF illustrates the structure of a physically backed product: investors own shares in a trust holding allocated platinum, subject to custody, expenses, authorized-participant activity, and market-price deviations from net asset value. The investor receives price exposure, not direct access to a fabricated industrial product (SEC 2025).</w:t>
      </w:r>
    </w:p>
    <w:p>
      <w:pPr>
        <w:pStyle w:val="BodyText"/>
      </w:pPr>
      <w:r>
        <w:t xml:space="preserve">Bullion coins and small bars serve a different audience. They carry fabrication and distribution premiums but allow direct ownership. The U.S. Mint, Royal Mint, Royal Canadian Mint, Austrian Mint, and private refiners have expanded platinum’s recognized investment forms over time. By 2051, tokenized warehouse claims and smaller exchange products may lower transaction size, but the underlying questions remain title, custody, redemption, audit, liquidity, and legal jurisdiction.</w:t>
      </w:r>
    </w:p>
    <w:bookmarkEnd w:id="47"/>
    <w:bookmarkStart w:id="48" w:name="X0c4d22393fbe51b4ae5f74b4507fcc5e582dab6"/>
    <w:p>
      <w:pPr>
        <w:pStyle w:val="Heading3"/>
      </w:pPr>
      <w:r>
        <w:t xml:space="preserve">Jewelry and investment can stabilize or destabilize</w:t>
      </w:r>
    </w:p>
    <w:p>
      <w:pPr>
        <w:pStyle w:val="FirstParagraph"/>
      </w:pPr>
      <w:r>
        <w:t xml:space="preserve">A low platinum price relative to gold may stimulate jewelry and investor interest, creating a floor. A sharp price rise can bring scrap jewelry and ETF metal back to market, creating supply. In a crisis, platinum may trade as a precious metal alongside gold, or it may underperform because industrial demand weakens. Its dual identity prevents a simple macro rule.</w:t>
      </w:r>
    </w:p>
    <w:p>
      <w:pPr>
        <w:pStyle w:val="BodyText"/>
      </w:pPr>
      <w:r>
        <w:t xml:space="preserve">The central scenario assumes jewelry remains an important but mature market and investment alternates between accumulation and liquidation. The low-demand scenario assumes sustained thrift, weak consumer preference, and more disinvestment. The high-demand scenario assumes platinum’s scarcity, hydrogen narrative, and relative value attract durable holdings, reducing the amount readily available to industry.</w:t>
      </w:r>
    </w:p>
    <w:bookmarkEnd w:id="48"/>
    <w:bookmarkEnd w:id="49"/>
    <w:bookmarkStart w:id="55" w:name="the-primary-supply-problem"/>
    <w:p>
      <w:pPr>
        <w:pStyle w:val="Heading2"/>
      </w:pPr>
      <w:r>
        <w:t xml:space="preserve">7. The primary-supply problem</w:t>
      </w:r>
    </w:p>
    <w:p>
      <w:pPr>
        <w:pStyle w:val="FirstParagraph"/>
      </w:pPr>
      <w:r>
        <w:t xml:space="preserve">Platinum is not expected to disappear geologically by 2051. The supply problem is the conversion of concentrated, complex resources into reliable annual output at an acceptable environmental, social, technical, and financial cost.</w:t>
      </w:r>
    </w:p>
    <w:p>
      <w:pPr>
        <w:pStyle w:val="BodyText"/>
      </w:pPr>
      <w:r>
        <w:t xml:space="preserve">The Bushveld Complex in South Africa contains an extraordinary share of the world’s known PGM endowment. Russia’s Norilsk region, the Great Dyke in Zimbabwe, the Stillwater Complex in the United States, and smaller Canadian and other deposits provide diversification, but not enough to make the market geographically balanced. Mudd, Jowitt, and Werner’s global assessment emphasizes both the scale of resources and the concentration of economically important deposits (Mudd, Jowitt, and Werner 2018).</w:t>
      </w:r>
    </w:p>
    <w:p>
      <w:pPr>
        <w:pStyle w:val="BodyText"/>
      </w:pPr>
      <w:r>
        <w:t xml:space="preserve">The WPIC’s 2026 mine forecast shows South Africa at 4.005 million ounces out of 5.551 million, or about 72 percent. Russia contributes 646,000 ounces, Zimbabwe 508,000, North America 201,000, and other regions 192,000. A disruption to one South African processing chain or a policy change affecting Russian material can therefore move the global balance (WPIC 2026a).</w:t>
      </w:r>
    </w:p>
    <w:bookmarkStart w:id="50" w:name="X69d2270ec6ed5a6b12b15c2b73169afc67813d5"/>
    <w:p>
      <w:pPr>
        <w:pStyle w:val="Heading3"/>
      </w:pPr>
      <w:r>
        <w:t xml:space="preserve">Co-product economics complicate the platinum signal</w:t>
      </w:r>
    </w:p>
    <w:p>
      <w:pPr>
        <w:pStyle w:val="FirstParagraph"/>
      </w:pPr>
      <w:r>
        <w:t xml:space="preserve">A PGM mine earns a basket. The mix differs by orebody: platinum can dominate one operation, while palladium, rhodium, nickel, chrome, copper, or gold provides a large share of another’s revenue. Management decisions respond to the basket price and site-specific costs, not to platinum alone.</w:t>
      </w:r>
    </w:p>
    <w:p>
      <w:pPr>
        <w:pStyle w:val="BodyText"/>
      </w:pPr>
      <w:r>
        <w:t xml:space="preserve">This weakens the textbook supply response. A high platinum price may not rescue a palladium-rich operation if the rest of the basket is weak. Conversely, strong rhodium, chrome, nickel, or gold can keep platinum output flowing even when platinum is under pressure. Supply curves built from a single metal price can therefore misclassify marginal mines.</w:t>
      </w:r>
    </w:p>
    <w:p>
      <w:pPr>
        <w:pStyle w:val="BodyText"/>
      </w:pPr>
      <w:r>
        <w:t xml:space="preserve">The same principle affects recycling. An autocatalyst lot contains a variable mix of platinum, palladium, and rhodium. Collection becomes attractive when the recoverable basket covers purchase, financing, transport, sampling, and refining. A platinum rally helps, but a fall in rhodium or palladium can reduce the lot’s total value.</w:t>
      </w:r>
    </w:p>
    <w:bookmarkEnd w:id="50"/>
    <w:bookmarkStart w:id="51" w:name="Xc9a9a5613d6c71b14ed646d421c5f3e55178764"/>
    <w:p>
      <w:pPr>
        <w:pStyle w:val="Heading3"/>
      </w:pPr>
      <w:r>
        <w:t xml:space="preserve">Existing mines face depth, grade, and infrastructure constraints</w:t>
      </w:r>
    </w:p>
    <w:p>
      <w:pPr>
        <w:pStyle w:val="FirstParagraph"/>
      </w:pPr>
      <w:r>
        <w:t xml:space="preserve">South African underground mines can be labor-intensive, deep, hot, and capital-hungry. Ore grades and geological conditions vary widely. Electricity reliability, water, rail, smelting capacity, labor relations, safety, and community expectations affect output. Older shafts need continuous development just to replace depleted working areas.</w:t>
      </w:r>
    </w:p>
    <w:p>
      <w:pPr>
        <w:pStyle w:val="BodyText"/>
      </w:pPr>
      <w:r>
        <w:t xml:space="preserve">Valterra Platinum’s 2026 interim guidance held mined and concentrate and refined output within established ranges rather than promising an immediate surge from high prices. Implats’ 2026 results similarly demonstrate that cash generation can improve much faster than physical production. Sibanye-Stillwater’s reports show how restructuring, cost, and operational performance differ across South African and U.S. assets (Valterra 2026; Implats 2026; Sibanye-Stillwater 2026).</w:t>
      </w:r>
    </w:p>
    <w:p>
      <w:pPr>
        <w:pStyle w:val="BodyText"/>
      </w:pPr>
      <w:r>
        <w:t xml:space="preserve">Higher prices improve margins, but they also raise wage expectations, equipment costs, royalties, and acquisition values. They may encourage companies to return cash to shareholders rather than approve a mine whose economics depend on a temporary spike. A sustainable supply response requires confidence in the basket over many years.</w:t>
      </w:r>
    </w:p>
    <w:bookmarkEnd w:id="51"/>
    <w:bookmarkStart w:id="52" w:name="X58e3c0001fd6d327c8fa2c135789851fe2e6c2d"/>
    <w:p>
      <w:pPr>
        <w:pStyle w:val="Heading3"/>
      </w:pPr>
      <w:r>
        <w:t xml:space="preserve">New projects matter because there are few of them</w:t>
      </w:r>
    </w:p>
    <w:p>
      <w:pPr>
        <w:pStyle w:val="FirstParagraph"/>
      </w:pPr>
      <w:r>
        <w:t xml:space="preserve">Platreef is the most visible new large-scale development. Ivanhoe Mines reported first concentrate sales and major shaft progress in 2026, with Shaft 3 increasing planned hoisting capacity and supporting staged expansion. The orebody’s thickness, mechanized mining plan, and by-product credits distinguish it from many narrow-reef operations. Its ramp-up can improve supply, but one project does not eliminate concentration (Ivanhoe Mines 2026).</w:t>
      </w:r>
    </w:p>
    <w:p>
      <w:pPr>
        <w:pStyle w:val="BodyText"/>
      </w:pPr>
      <w:r>
        <w:t xml:space="preserve">Zimbabwe’s Karo project and potential expansions on the Great Dyke could add material output. Tharisa’s reporting shows both the development work completed and the financing and market conditions that can slow a project. In South Africa, Waterberg, Mogalakwena underground concepts, life extensions, and brownfield expansions offer optionality. North American projects can diversify origin but face permitting, capital, and metallurgy challenges (Tharisa 2025, 2026; Li et al. 2023).</w:t>
      </w:r>
    </w:p>
    <w:p>
      <w:pPr>
        <w:pStyle w:val="BodyText"/>
      </w:pPr>
      <w:r>
        <w:t xml:space="preserve">The long-range supply question is not whether a list of resources exists. It is how many projects reach final investment decision, construction, ramp-up, and steady recovery before mature mines decline. Slippage of two or three large projects can move a small market from balance to deficit.</w:t>
      </w:r>
    </w:p>
    <w:bookmarkEnd w:id="52"/>
    <w:bookmarkStart w:id="53" w:name="X65224592c5dd386f8c9675e0a07911e413aa804"/>
    <w:p>
      <w:pPr>
        <w:pStyle w:val="Heading3"/>
      </w:pPr>
      <w:r>
        <w:t xml:space="preserve">Processing and refining are part of supply</w:t>
      </w:r>
    </w:p>
    <w:p>
      <w:pPr>
        <w:pStyle w:val="FirstParagraph"/>
      </w:pPr>
      <w:r>
        <w:t xml:space="preserve">Mining output must pass through concentration, smelting, converting, base-metal refining, and precious-metal refining. Planned maintenance, furnace rebuilds, power events, feed blending, and inventory movements can separate mined production from refined metal for months. A shortage of processing capacity can create tight refined supply even when ore is available.</w:t>
      </w:r>
    </w:p>
    <w:p>
      <w:pPr>
        <w:pStyle w:val="BodyText"/>
      </w:pPr>
      <w:r>
        <w:t xml:space="preserve">Responsible-sourcing and Good Delivery rules add another layer. A buyer may reject metal that cannot meet origin or audit requirements even if it is physically pure. The effective supply for a regulated buyer is therefore smaller than gross global supply.</w:t>
      </w:r>
    </w:p>
    <w:bookmarkEnd w:id="53"/>
    <w:bookmarkStart w:id="54" w:name="the-likely-mine-path"/>
    <w:p>
      <w:pPr>
        <w:pStyle w:val="Heading3"/>
      </w:pPr>
      <w:r>
        <w:t xml:space="preserve">The likely mine path</w:t>
      </w:r>
    </w:p>
    <w:p>
      <w:pPr>
        <w:pStyle w:val="FirstParagraph"/>
      </w:pPr>
      <w:r>
        <w:t xml:space="preserve">The low-demand scenario allows higher-cost mines to close and assumes new projects are sufficient for a smaller market. The central scenario assumes major projects offset a portion of mature-mine decline, leaving primary requirement near five million ounces in 2051. The high-demand scenario requires roughly 7.14 million primary ounces in 2051, well above the 2026 mine baseline. That path would need successful expansion, new regions, better recovery, higher prices, or sustained stock draw. It is possible, but it is not contained in today’s project list.</w:t>
      </w:r>
    </w:p>
    <w:bookmarkEnd w:id="54"/>
    <w:bookmarkEnd w:id="55"/>
    <w:bookmarkStart w:id="64" w:name="Xf5bbbb743a0e51e7e966c84c85735e4ad0212ec"/>
    <w:p>
      <w:pPr>
        <w:pStyle w:val="Heading2"/>
      </w:pPr>
      <w:r>
        <w:t xml:space="preserve">8. Recycling and the future secondary market</w:t>
      </w:r>
    </w:p>
    <w:p>
      <w:pPr>
        <w:pStyle w:val="FirstParagraph"/>
      </w:pPr>
      <w:r>
        <w:t xml:space="preserve">Platinum has one of the strongest economic incentives for recycling. The metal does not lose its elemental identity when used, and the concentration in spent catalysts can be far higher than in mined ore. Yet technical recoverability is not the same as actual recovery. Collection, identification, ownership, sampling, finance, regulation, and process capacity determine whether material reaches a competent refiner (Hageluken 2012; Hughes et al. 2021).</w:t>
      </w:r>
    </w:p>
    <w:bookmarkStart w:id="56" w:name="X8427acf27731e7914dba7583989f5e2056f9a09"/>
    <w:p>
      <w:pPr>
        <w:pStyle w:val="Heading3"/>
      </w:pPr>
      <w:r>
        <w:t xml:space="preserve">Autocatalysts dominate today’s open-loop supply</w:t>
      </w:r>
    </w:p>
    <w:p>
      <w:pPr>
        <w:pStyle w:val="FirstParagraph"/>
      </w:pPr>
      <w:r>
        <w:t xml:space="preserve">WPIC forecasts 1.365 million recycled automotive ounces in 2026, about three-quarters of reported recycling. The supply responds to vehicle scrappage, metal prices, collector inventories, financing, theft enforcement, export rules, and the profitability of dismantling. A high price can pull stored converters into the market, but it cannot instantly create converters from vehicles still in service (WPIC 2026a).</w:t>
      </w:r>
    </w:p>
    <w:p>
      <w:pPr>
        <w:pStyle w:val="BodyText"/>
      </w:pPr>
      <w:r>
        <w:t xml:space="preserve">The autocatalyst chain can include vehicle owner, dismantler, collector, aggregator, decanner, sampler, trader, smelter, and precious-metal refiner. Each participant needs working capital and faces assay risk. Price volatility can produce inventory gains or losses. Faster provisional payment and reliable hedging are as important as metallurgical recovery.</w:t>
      </w:r>
    </w:p>
    <w:p>
      <w:pPr>
        <w:pStyle w:val="BodyText"/>
      </w:pPr>
      <w:r>
        <w:t xml:space="preserve">By the early-to-mid 2030s, large fleets sold during the 2010s and 2020s should continue to generate substantial scrap. In the battery-dominance scenario, this secondary wave arrives while new catalyst demand is falling. Later, the feedstock pool contracts because fewer combustion vehicles were built. In the managed and high-demand scenarios, hybrids and heavy-duty vehicles keep the pipeline fuller for longer.</w:t>
      </w:r>
    </w:p>
    <w:bookmarkEnd w:id="56"/>
    <w:bookmarkStart w:id="57" w:name="jewelry-recycling-is-price-sensitive"/>
    <w:p>
      <w:pPr>
        <w:pStyle w:val="Heading3"/>
      </w:pPr>
      <w:r>
        <w:t xml:space="preserve">Jewelry recycling is price-sensitive</w:t>
      </w:r>
    </w:p>
    <w:p>
      <w:pPr>
        <w:pStyle w:val="FirstParagraph"/>
      </w:pPr>
      <w:r>
        <w:t xml:space="preserve">WPIC forecasts 373,000 ounces of jewelry recycling in 2026. Individuals sell when prices rise, household finances tighten, fashions change, or retailers run exchange programs. The metal can move through pawnbrokers, jewelers, precious-metal buyers, aggregators, and refiners. High prices improve collection but can also increase fraud and misdescription (WPIC 2026a).</w:t>
      </w:r>
    </w:p>
    <w:p>
      <w:pPr>
        <w:pStyle w:val="BodyText"/>
      </w:pPr>
      <w:r>
        <w:t xml:space="preserve">Jewelry recycling is less tied to a fixed service life than autocatalysts. A ring can remain in a drawer for decades or be sold after a few years. This makes the flow responsive but difficult to model. The central scenario assumes gradual growth in gross jewelry stock and increasingly efficient return channels. The low scenario assumes high prices and weak fabrication release more scrap. The high scenario assumes stronger consumer holding and investment reduce immediate returns.</w:t>
      </w:r>
    </w:p>
    <w:bookmarkEnd w:id="57"/>
    <w:bookmarkStart w:id="58" w:name="Xbce33b74117497a0105bc2fb8f3a1fe267c9165"/>
    <w:p>
      <w:pPr>
        <w:pStyle w:val="Heading3"/>
      </w:pPr>
      <w:r>
        <w:t xml:space="preserve">Industrial recycling is undercounted by gross statistics</w:t>
      </w:r>
    </w:p>
    <w:p>
      <w:pPr>
        <w:pStyle w:val="FirstParagraph"/>
      </w:pPr>
      <w:r>
        <w:t xml:space="preserve">The reported 88,000 ounces of industrial recycling in WPIC’s 2026 table is small, but many industrial systems operate closed loops. A glassmaker may return alloy equipment to the same refiner. A chemical company may maintain a metal account. A catalyst manufacturer may recover process scrap internally. The metal changes form and incurs losses without becoming an open-market sale each time.</w:t>
      </w:r>
    </w:p>
    <w:p>
      <w:pPr>
        <w:pStyle w:val="BodyText"/>
      </w:pPr>
      <w:r>
        <w:t xml:space="preserve">This distinction matters for forecasts. A hydrogen economy could circulate millions of gross ounces through manufacturing, operation, replacement, and refining while requiring a much smaller amount of new primary platinum. The correct metric is not only annual fabrication demand; it is net addition to in-use stock plus unrecovered loss.</w:t>
      </w:r>
    </w:p>
    <w:bookmarkEnd w:id="58"/>
    <w:bookmarkStart w:id="59" w:name="X3e813fa1dbfc209607232c084cfba3c7e13b9a1"/>
    <w:p>
      <w:pPr>
        <w:pStyle w:val="Heading3"/>
      </w:pPr>
      <w:r>
        <w:t xml:space="preserve">Recovery technology will improve, but collection remains decisive</w:t>
      </w:r>
    </w:p>
    <w:p>
      <w:pPr>
        <w:pStyle w:val="FirstParagraph"/>
      </w:pPr>
      <w:r>
        <w:t xml:space="preserve">Modern PGM recycling uses pyrometallurgical, hydrometallurgical, and combined routes. Research focuses on lower energy, safer reagents, selective recovery, smaller-scale preprocessing, and direct reuse of catalyst materials. Grilli and colleagues review advances in recovering PGMs from spent autocatalysts and returning them to new catalysts. Arnold and colleagues show that selective component removal can improve the economics of high-value-metal recovery from end-of-life vehicles (Grilli et al. 2023; Arnold et al. 2021).</w:t>
      </w:r>
    </w:p>
    <w:p>
      <w:pPr>
        <w:pStyle w:val="BodyText"/>
      </w:pPr>
      <w:r>
        <w:t xml:space="preserve">Technology cannot recover a catalyst that is exported as an undocumented used vehicle, abandoned, stolen, diluted into poor-quality scrap, or sent to an unsuitable processor. Regulation of end-of-life vehicles, proof of ownership, standardized converter identification, and cross-border enforcement may contribute more ounces than a small laboratory improvement in extraction yield. The EU’s 2026 vehicle circularity regulation strengthens collection and operator obligations, creating a framework that can improve traceability over time (European Union 2026).</w:t>
      </w:r>
    </w:p>
    <w:bookmarkEnd w:id="59"/>
    <w:bookmarkStart w:id="63" w:name="X3c84ef364012b807e9f6f07606a7ffb2b28245e"/>
    <w:p>
      <w:pPr>
        <w:pStyle w:val="Heading3"/>
      </w:pPr>
      <w:r>
        <w:t xml:space="preserve">The secondary share is not a straight line</w:t>
      </w:r>
    </w:p>
    <w:p>
      <w:pPr>
        <w:pStyle w:val="FirstParagraph"/>
      </w:pPr>
      <w:r>
        <w:t xml:space="preserve">The scenario chart rises from a 23.8-percent 2026 baseline to 35-39 percent around 2040 in the central and low-demand cases, then stabilizes or declines slightly. The shape reflects the autocatalyst lag. Old combustion fleets create abundant feed before the flow weakens. Industrial and hydrogen loops continue to grow, but they do not fully replace every lost converter.</w:t>
      </w:r>
    </w:p>
    <w:p>
      <w:pPr>
        <w:pStyle w:val="CaptionedFigure"/>
      </w:pPr>
      <w:r>
        <w:drawing>
          <wp:inline>
            <wp:extent cx="6451600" cy="3910269"/>
            <wp:effectExtent b="0" l="0" r="0" t="0"/>
            <wp:docPr descr="Line chart showing secondary platinum share rising from 23.8 percent in 2026 to between 32 and 39 percent around 2051 under three scenarios." title="" id="61" name="Picture"/>
            <a:graphic>
              <a:graphicData uri="http://schemas.openxmlformats.org/drawingml/2006/picture">
                <pic:pic>
                  <pic:nvPicPr>
                    <pic:cNvPr descr="platinum_outlook_assets/secondary_platinum_share_2026_2051.png" id="62" name="Picture"/>
                    <pic:cNvPicPr>
                      <a:picLocks noChangeArrowheads="1" noChangeAspect="1"/>
                    </pic:cNvPicPr>
                  </pic:nvPicPr>
                  <pic:blipFill>
                    <a:blip r:embed="rId60"/>
                    <a:stretch>
                      <a:fillRect/>
                    </a:stretch>
                  </pic:blipFill>
                  <pic:spPr bwMode="auto">
                    <a:xfrm>
                      <a:off x="0" y="0"/>
                      <a:ext cx="6451600" cy="3910269"/>
                    </a:xfrm>
                    <a:prstGeom prst="rect">
                      <a:avLst/>
                    </a:prstGeom>
                    <a:noFill/>
                    <a:ln w="9525">
                      <a:noFill/>
                      <a:headEnd/>
                      <a:tailEnd/>
                    </a:ln>
                  </pic:spPr>
                </pic:pic>
              </a:graphicData>
            </a:graphic>
          </wp:inline>
        </w:drawing>
      </w:r>
    </w:p>
    <w:p>
      <w:pPr>
        <w:pStyle w:val="ImageCaption"/>
      </w:pPr>
      <w:r>
        <w:t xml:space="preserve">Line chart showing secondary platinum share rising from 23.8 percent in 2026 to between 32 and 39 percent around 2051 under three scenarios.</w:t>
      </w:r>
    </w:p>
    <w:p>
      <w:pPr>
        <w:pStyle w:val="BodyText"/>
      </w:pPr>
      <w:r>
        <w:rPr>
          <w:i/>
          <w:iCs/>
        </w:rPr>
        <w:t xml:space="preserve">Figure 1. AllMetalPrices scenario calculations. The measure is reported or market-visible secondary supply divided by total demand; it should not be confused with gross metal circulating inside closed industrial loops.</w:t>
      </w:r>
    </w:p>
    <w:p>
      <w:pPr>
        <w:pStyle w:val="BodyText"/>
      </w:pPr>
      <w:r>
        <w:t xml:space="preserve">Recycling is therefore indispensable but not a universal answer. It reduces primary requirement, cushions shocks, and creates regional supply. It also depends on the size and age of past installations. Buyers planning for 2040 must understand what was sold in 2025, because that history determines part of the future scrap stream.</w:t>
      </w:r>
    </w:p>
    <w:bookmarkEnd w:id="63"/>
    <w:bookmarkEnd w:id="64"/>
    <w:bookmarkStart w:id="70" w:name="substitution-thrift-and-technology-risk"/>
    <w:p>
      <w:pPr>
        <w:pStyle w:val="Heading2"/>
      </w:pPr>
      <w:r>
        <w:t xml:space="preserve">9. Substitution, thrift, and technology risk</w:t>
      </w:r>
    </w:p>
    <w:p>
      <w:pPr>
        <w:pStyle w:val="FirstParagraph"/>
      </w:pPr>
      <w:r>
        <w:t xml:space="preserve">Platinum’s high value is both its protection and its vulnerability. It encourages recovery and careful use, but it also pays engineers to reduce loading or find alternatives. Every long-range demand forecast must therefore distinguish between growth in the number of devices and platinum per device.</w:t>
      </w:r>
    </w:p>
    <w:bookmarkStart w:id="65" w:name="substitution-within-the-pgm-family"/>
    <w:p>
      <w:pPr>
        <w:pStyle w:val="Heading3"/>
      </w:pPr>
      <w:r>
        <w:t xml:space="preserve">Substitution within the PGM family</w:t>
      </w:r>
    </w:p>
    <w:p>
      <w:pPr>
        <w:pStyle w:val="FirstParagraph"/>
      </w:pPr>
      <w:r>
        <w:t xml:space="preserve">Platinum, palladium, and rhodium have overlapping but distinct catalytic properties. Relative price, availability, emissions chemistry, durability, validation time, and manufacturing capacity influence formulation. Large price spreads can make substitution attractive even when engineering is difficult. The process is slow enough to create cycles: a shortage raises price, engineers substitute, demand falls, and the relative price reverses.</w:t>
      </w:r>
    </w:p>
    <w:p>
      <w:pPr>
        <w:pStyle w:val="BodyText"/>
      </w:pPr>
      <w:r>
        <w:t xml:space="preserve">Because the metals are co-produced, substitution can transfer tightness rather than eliminate it. Replacing palladium with platinum may lower one bill but increase dependence on South African platinum. Replacing platinum with palladium may expose the buyer to Russian supply and a metal whose automotive demand is already highly concentrated. Robust procurement evaluates the basket and the qualification path.</w:t>
      </w:r>
    </w:p>
    <w:bookmarkEnd w:id="65"/>
    <w:bookmarkStart w:id="66" w:name="thrift-in-catalysts-and-hydrogen-systems"/>
    <w:p>
      <w:pPr>
        <w:pStyle w:val="Heading3"/>
      </w:pPr>
      <w:r>
        <w:t xml:space="preserve">Thrift in catalysts and hydrogen systems</w:t>
      </w:r>
    </w:p>
    <w:p>
      <w:pPr>
        <w:pStyle w:val="FirstParagraph"/>
      </w:pPr>
      <w:r>
        <w:t xml:space="preserve">Autocatalyst makers have reduced PGM per unit of emissions performance through improved washcoats, dispersion, thermal management, sensors, and control software. Tighter standards can offset those gains by demanding better performance over a wider range and longer life.</w:t>
      </w:r>
    </w:p>
    <w:p>
      <w:pPr>
        <w:pStyle w:val="BodyText"/>
      </w:pPr>
      <w:r>
        <w:t xml:space="preserve">Hydrogen systems show an even clearer thrift target. DOE’s PEM electrolysis guide reduces total PGM from 0.8 g/kW status to 0.1 g/kW target and 0.03 g/kW ultimate. Fuel-cell targets similarly push PGM content lower while demanding durability and power density (DOE 2026a, 2026b). A forecast that holds 2022 loading constant to 2051 will overstate demand.</w:t>
      </w:r>
    </w:p>
    <w:p>
      <w:pPr>
        <w:pStyle w:val="BodyText"/>
      </w:pPr>
      <w:r>
        <w:t xml:space="preserve">The opposite error is to assume the ultimate laboratory target becomes the fleet average immediately. New catalyst designs require scale-up, supply chains, quality control, warranties, and field life. Early systems and heavy-duty applications may retain higher loadings. Replacement stacks can also use different technology from the original installation.</w:t>
      </w:r>
    </w:p>
    <w:bookmarkEnd w:id="66"/>
    <w:bookmarkStart w:id="67" w:name="X3f74e7d542ba3cf3e480f1fb443d77314e9bebe"/>
    <w:p>
      <w:pPr>
        <w:pStyle w:val="Heading3"/>
      </w:pPr>
      <w:r>
        <w:t xml:space="preserve">Non-PGM alternatives and competing technologies</w:t>
      </w:r>
    </w:p>
    <w:p>
      <w:pPr>
        <w:pStyle w:val="FirstParagraph"/>
      </w:pPr>
      <w:r>
        <w:t xml:space="preserve">Alkaline electrolysers typically avoid platinum at the cathode and have dominated much of early large-scale deployment. Solid-oxide and anion-exchange technologies follow different material pathways. Batteries and direct electrification compete with fuel cells in vehicles and stationary systems. Chemical catalysts can use base metals or different processes. Jewelry can switch to gold, palladium, silver, or white-gold alloys.</w:t>
      </w:r>
    </w:p>
    <w:p>
      <w:pPr>
        <w:pStyle w:val="BodyText"/>
      </w:pPr>
      <w:r>
        <w:t xml:space="preserve">Alternative technologies do not need to match platinum on every property. They need to meet the buyer’s actual requirement at lower total cost. Platinum remains strongest where corrosion, temperature, biocompatibility, catalytic selectivity, durability, or compactness makes failure expensive.</w:t>
      </w:r>
    </w:p>
    <w:bookmarkEnd w:id="67"/>
    <w:bookmarkStart w:id="68" w:name="X026f66e36852d277f66988d10969b3972edb091"/>
    <w:p>
      <w:pPr>
        <w:pStyle w:val="Heading3"/>
      </w:pPr>
      <w:r>
        <w:t xml:space="preserve">New applications can surprise on the upside</w:t>
      </w:r>
    </w:p>
    <w:p>
      <w:pPr>
        <w:pStyle w:val="FirstParagraph"/>
      </w:pPr>
      <w:r>
        <w:t xml:space="preserve">The same research effort that reduces loading can create new demand. Platinum catalysts may enter carbon capture, synthetic fuels, advanced sensors, medical therapies, power electronics, semiconductor processes, or pollution control not represented in today’s tables. A small loading in a mass-market product can matter; a high loading in a niche product may not.</w:t>
      </w:r>
    </w:p>
    <w:p>
      <w:pPr>
        <w:pStyle w:val="BodyText"/>
      </w:pPr>
      <w:r>
        <w:t xml:space="preserve">The scenario design deals with this uncertainty through a diversified industrial growth assumption rather than naming one speculative breakthrough. The high case allows new applications to add meaningfully after 2035. The central case assumes gains in some areas and thrift in others. The low case assumes alternatives capture most growth.</w:t>
      </w:r>
    </w:p>
    <w:bookmarkEnd w:id="68"/>
    <w:bookmarkStart w:id="69" w:name="X293d31ea846dcc20355b32eafa3cca8509386bb"/>
    <w:p>
      <w:pPr>
        <w:pStyle w:val="Heading3"/>
      </w:pPr>
      <w:r>
        <w:t xml:space="preserve">Technology risk should be managed contractually</w:t>
      </w:r>
    </w:p>
    <w:p>
      <w:pPr>
        <w:pStyle w:val="FirstParagraph"/>
      </w:pPr>
      <w:r>
        <w:t xml:space="preserve">A manufacturer committing to a long-lived product can negotiate substitution rights, qualification procedures, metal-return ownership, and benchmark changes before a price shock. A supplier can invest in application engineering and recycling to remain valuable even if the grams per unit fall. The worst position is a buyer locked into one formula with no qualified alternative, or a seller whose only advantage is scarce metal.</w:t>
      </w:r>
    </w:p>
    <w:bookmarkEnd w:id="69"/>
    <w:bookmarkEnd w:id="70"/>
    <w:bookmarkStart w:id="78" w:name="X410c57517e0b60d2f01ef0059a958e94c1d050d"/>
    <w:p>
      <w:pPr>
        <w:pStyle w:val="Heading2"/>
      </w:pPr>
      <w:r>
        <w:t xml:space="preserve">10. Geography, policy, and market infrastructure</w:t>
      </w:r>
    </w:p>
    <w:p>
      <w:pPr>
        <w:pStyle w:val="FirstParagraph"/>
      </w:pPr>
      <w:r>
        <w:t xml:space="preserve">Platinum’s physical concentration increasingly intersects with strategic-mineral policy. The European Union lists platinum-group metals as critical raw materials and reports that South Africa supplies a dominant share of its platinum needs. The U.S. 2025 critical-minerals list retains platinum-group metals because of their economic and national-security importance and vulnerable supply chains (European Commission 2026; USGS 2025).</w:t>
      </w:r>
    </w:p>
    <w:bookmarkStart w:id="71" w:name="X8918e035ecfcec80517ea5af87c8b07252aa2f9"/>
    <w:p>
      <w:pPr>
        <w:pStyle w:val="Heading3"/>
      </w:pPr>
      <w:r>
        <w:t xml:space="preserve">South Africa remains the center of gravity</w:t>
      </w:r>
    </w:p>
    <w:p>
      <w:pPr>
        <w:pStyle w:val="FirstParagraph"/>
      </w:pPr>
      <w:r>
        <w:t xml:space="preserve">South Africa combines world-class resources, established mining and processing, specialized labor, refiners, fabricators, and a long operating history. It also carries concentration risk. Electricity, rail, water, labor relations, crime, permitting, social obligations, and policy can affect many ounces at once.</w:t>
      </w:r>
    </w:p>
    <w:p>
      <w:pPr>
        <w:pStyle w:val="BodyText"/>
      </w:pPr>
      <w:r>
        <w:t xml:space="preserve">The most realistic diversification strategy is not to replace South Africa. It is to improve the resilience of South African supply while developing additional projects, recycling, inventories, and fabrication elsewhere. Buyers that ignore South African operating conditions are ignoring the market’s center.</w:t>
      </w:r>
    </w:p>
    <w:bookmarkEnd w:id="71"/>
    <w:bookmarkStart w:id="72" w:name="zimbabwe-can-become-more-important"/>
    <w:p>
      <w:pPr>
        <w:pStyle w:val="Heading3"/>
      </w:pPr>
      <w:r>
        <w:t xml:space="preserve">Zimbabwe can become more important</w:t>
      </w:r>
    </w:p>
    <w:p>
      <w:pPr>
        <w:pStyle w:val="FirstParagraph"/>
      </w:pPr>
      <w:r>
        <w:t xml:space="preserve">The Great Dyke offers meaningful PGM resources and existing operations. Growth depends on finance, fiscal stability, power, processing, infrastructure, and the ability to market products under evolving responsible-sourcing requirements. Karo’s progress and delays illustrate both the geological opportunity and the commercial hurdles (Tharisa 2025, 2026).</w:t>
      </w:r>
    </w:p>
    <w:p>
      <w:pPr>
        <w:pStyle w:val="BodyText"/>
      </w:pPr>
      <w:r>
        <w:t xml:space="preserve">A successful expansion would diversify mine supply but still keep the market concentrated in southern Africa. Regional power and logistics cooperation could matter as much as mine geology.</w:t>
      </w:r>
    </w:p>
    <w:bookmarkEnd w:id="72"/>
    <w:bookmarkStart w:id="73" w:name="X9ad7508eb28e8396039568c86f1151663412e13"/>
    <w:p>
      <w:pPr>
        <w:pStyle w:val="Heading3"/>
      </w:pPr>
      <w:r>
        <w:t xml:space="preserve">Russia remains significant and difficult to model</w:t>
      </w:r>
    </w:p>
    <w:p>
      <w:pPr>
        <w:pStyle w:val="FirstParagraph"/>
      </w:pPr>
      <w:r>
        <w:t xml:space="preserve">Russian platinum is linked to large nickel-copper operations and to the broader economics of the PGM basket. Sanctions, payment restrictions, shipping, insurance, customer policies, and geopolitical relations can reduce the set of buyers willing or able to take material without stopping physical production. This creates a difference between global supply and accessible supply.</w:t>
      </w:r>
    </w:p>
    <w:p>
      <w:pPr>
        <w:pStyle w:val="BodyText"/>
      </w:pPr>
      <w:r>
        <w:t xml:space="preserve">By 2051, political relationships may be radically different. The forecast therefore does not assume permanent exclusion or unrestricted trade. It assumes periodic fragmentation, documentation demands, and regional price differences.</w:t>
      </w:r>
    </w:p>
    <w:bookmarkEnd w:id="73"/>
    <w:bookmarkStart w:id="74" w:name="X5b98e567679a8a139d1aa37c0d5ccc433f4eafa"/>
    <w:p>
      <w:pPr>
        <w:pStyle w:val="Heading3"/>
      </w:pPr>
      <w:r>
        <w:t xml:space="preserve">North America provides strategic optionality</w:t>
      </w:r>
    </w:p>
    <w:p>
      <w:pPr>
        <w:pStyle w:val="FirstParagraph"/>
      </w:pPr>
      <w:r>
        <w:t xml:space="preserve">The United States and Canada have smaller mine output, specialized recycling, automotive scrap, chemical demand, financial markets, and potential projects. Domestic or allied supply can command strategic value beyond its share of global ounces. The U.S. critical-minerals framework can support mapping, permitting, stockpiling, recycling, and research, although policy does not guarantee economic production (USGS 2025, 2026a).</w:t>
      </w:r>
    </w:p>
    <w:p>
      <w:pPr>
        <w:pStyle w:val="BodyText"/>
      </w:pPr>
      <w:r>
        <w:t xml:space="preserve">North American autocatalyst recycling is especially important. Strong vehicle ownership creates a large urban mine. Better collection and enforcement can add supply faster than a new deep mine.</w:t>
      </w:r>
    </w:p>
    <w:bookmarkEnd w:id="74"/>
    <w:bookmarkStart w:id="75" w:name="X505b7973bbb07af9473b64eaf2740c8bb5c9a87"/>
    <w:p>
      <w:pPr>
        <w:pStyle w:val="Heading3"/>
      </w:pPr>
      <w:r>
        <w:t xml:space="preserve">China gains influence over price formation and consumption</w:t>
      </w:r>
    </w:p>
    <w:p>
      <w:pPr>
        <w:pStyle w:val="FirstParagraph"/>
      </w:pPr>
      <w:r>
        <w:t xml:space="preserve">China is important in jewelry, automotive, chemical, glass, investment, refining, and hydrogen equipment. The Guangzhou Futures Exchange launched platinum and palladium contracts in late 2025, adding a domestic risk-management venue and potentially increasing China’s role in price discovery. London and New York will remain important, but a 2051 market with several active benchmarks is more likely than one controlled by a single center (GFEX 2025; WPIC 2026a).</w:t>
      </w:r>
    </w:p>
    <w:p>
      <w:pPr>
        <w:pStyle w:val="BodyText"/>
      </w:pPr>
      <w:r>
        <w:t xml:space="preserve">Regional benchmarks can improve local hedging while creating basis risk. A Chinese industrial user may hedge on GFEX, source imported sponge, and settle a physical contract against a London-linked quotation. Currency, taxes, delivery standards, and capital controls determine how closely the prices converge.</w:t>
      </w:r>
    </w:p>
    <w:bookmarkEnd w:id="75"/>
    <w:bookmarkStart w:id="76" w:name="Xd4840ae47d3bd02be0c11b70537008fbef5b701"/>
    <w:p>
      <w:pPr>
        <w:pStyle w:val="Heading3"/>
      </w:pPr>
      <w:r>
        <w:t xml:space="preserve">London benchmark administration changed in 2026</w:t>
      </w:r>
    </w:p>
    <w:p>
      <w:pPr>
        <w:pStyle w:val="FirstParagraph"/>
      </w:pPr>
      <w:r>
        <w:t xml:space="preserve">ICE Benchmark Administration began administering the LBMA Platinum and Palladium Price auctions on July 1, 2026, replacing the London Metal Exchange as administrator. The benchmarks apply to unallocated metal delivered in London, and licenses are required for real-time or historical use in pricing, valuation, transactions, and financial products (LPPM 2026a).</w:t>
      </w:r>
    </w:p>
    <w:p>
      <w:pPr>
        <w:pStyle w:val="BodyText"/>
      </w:pPr>
      <w:r>
        <w:t xml:space="preserve">This detail matters for AllMetalPrices.com and for commercial contracts. Public display of delayed data is not the same as a license to redistribute or build a paid product from benchmark history. A buyer or seller should identify the exact benchmark, auction, currency, time, license, and fall-back provisions in a contract.</w:t>
      </w:r>
    </w:p>
    <w:bookmarkEnd w:id="76"/>
    <w:bookmarkStart w:id="77" w:name="X10ddffd2ca66026c4896771a9a71c10463db710"/>
    <w:p>
      <w:pPr>
        <w:pStyle w:val="Heading3"/>
      </w:pPr>
      <w:r>
        <w:t xml:space="preserve">Responsible sourcing becomes part of deliverability</w:t>
      </w:r>
    </w:p>
    <w:p>
      <w:pPr>
        <w:pStyle w:val="FirstParagraph"/>
      </w:pPr>
      <w:r>
        <w:t xml:space="preserve">LPPM Good Delivery refiners must meet responsible-sourcing requirements. The 2026 guidance update prepared the market for mandatory reporting changes in 2027. Similar expectations flow from customers, lenders, governments, and downstream due-diligence systems (LPPM 2026d).</w:t>
      </w:r>
    </w:p>
    <w:p>
      <w:pPr>
        <w:pStyle w:val="BodyText"/>
      </w:pPr>
      <w:r>
        <w:t xml:space="preserve">By 2051, provenance, recycled content, emissions, water, labor, and chain-of-custody data are likely to travel with platinum more routinely. This does not mean a universal green premium. It means some buyers will discount or reject metal without evidence, while verified low-impact or recycled products may gain preferred access.</w:t>
      </w:r>
    </w:p>
    <w:p>
      <w:pPr>
        <w:pStyle w:val="BodyText"/>
      </w:pPr>
      <w:r>
        <w:t xml:space="preserve">Policy can support resilience, but it can also fragment liquidity. Local-content rules, tariffs, sanctions, strategic stocks, and export controls may place identical platinum at different effective prices in different jurisdictions. The long-run market will be global in value and increasingly regional in access.</w:t>
      </w:r>
    </w:p>
    <w:bookmarkEnd w:id="77"/>
    <w:bookmarkEnd w:id="78"/>
    <w:bookmarkStart w:id="86" w:name="Xea83885a5cc1b3b39cb628160ac2a22e132290b"/>
    <w:p>
      <w:pPr>
        <w:pStyle w:val="Heading2"/>
      </w:pPr>
      <w:r>
        <w:t xml:space="preserve">11. Three platinum-market scenarios for 2026-2051</w:t>
      </w:r>
    </w:p>
    <w:p>
      <w:pPr>
        <w:pStyle w:val="FirstParagraph"/>
      </w:pPr>
      <w:r>
        <w:t xml:space="preserve">The scenarios are not bull, base, and bear price calls. Each is a physical market with a coherent vehicle mix, hydrogen path, industrial profile, recycling response, and primary-supply requirement. Real markets may move from one regime to another.</w:t>
      </w:r>
    </w:p>
    <w:bookmarkStart w:id="79" w:name="X1e9a72ff423914b8a98a17cd227c7b3ef9d9f8c"/>
    <w:p>
      <w:pPr>
        <w:pStyle w:val="Heading3"/>
      </w:pPr>
      <w:r>
        <w:t xml:space="preserve">Scenario A: Battery dominance and metal thrift</w:t>
      </w:r>
    </w:p>
    <w:p>
      <w:pPr>
        <w:pStyle w:val="FirstParagraph"/>
      </w:pPr>
      <w:r>
        <w:t xml:space="preserve">Battery-electric vehicles gain share quickly across passenger cars, commercial fleets, and selected heavy-duty uses. Hybrids serve as a short bridge rather than a durable category. Emissions-catalyst demand falls faster than tightening standards can raise loadings. Palladium-platinum substitution adds temporary demand but does not change the long trend.</w:t>
      </w:r>
    </w:p>
    <w:p>
      <w:pPr>
        <w:pStyle w:val="BodyText"/>
      </w:pPr>
      <w:r>
        <w:t xml:space="preserve">Hydrogen grows mainly in refining, chemicals, seasonal storage, and a limited set of heavy-duty or stationary applications. Alkaline and other electrolyzer technologies capture much of the market, while PEM systems reach low PGM loadings. Fuel-cell stacks improve durability and recycle metal efficiently. Industrial and medical demand remains valuable but uses less platinum per unit. Jewelry growth is weak and investment holdings are periodically liquidated.</w:t>
      </w:r>
    </w:p>
    <w:p>
      <w:pPr>
        <w:pStyle w:val="BodyText"/>
      </w:pPr>
      <w:r>
        <w:t xml:space="preserve">Total demand falls from 7.674 million ounces in 2026 to 5.6 million in 2051. Secondary share rises to 39 percent around 2040 as old autocatalysts return, then slips to 36 percent as the combustion-vehicle scrap pool contracts. Primary requirement falls to about 3.58 million ounces. Higher-cost shafts close, and delayed projects are not needed immediately.</w:t>
      </w:r>
    </w:p>
    <w:p>
      <w:pPr>
        <w:pStyle w:val="BodyText"/>
      </w:pPr>
      <w:r>
        <w:t xml:space="preserve">This is not a collapse scenario. Platinum remains strategically important in applications where alternatives fail. The market is smaller, more recycled, and less tolerant of high-cost supply.</w:t>
      </w:r>
    </w:p>
    <w:bookmarkEnd w:id="79"/>
    <w:bookmarkStart w:id="80" w:name="X0adeb89c04d3846c2941599baffd0ec94c58c73"/>
    <w:p>
      <w:pPr>
        <w:pStyle w:val="Heading3"/>
      </w:pPr>
      <w:r>
        <w:t xml:space="preserve">Scenario B: Managed transition and diversified demand</w:t>
      </w:r>
    </w:p>
    <w:p>
      <w:pPr>
        <w:pStyle w:val="FirstParagraph"/>
      </w:pPr>
      <w:r>
        <w:t xml:space="preserve">Battery-electric vehicles grow strongly, but hybrids, range extenders, heavy-duty engines, and non-road equipment preserve catalyst demand through the 2030s. Tighter emissions standards and platinum substitution partly offset declining engine volumes. Hydrogen projects proceed more slowly than policy targets but achieve meaningful scale in PEM electrolysis, heavy transport, backup power, and industrial systems.</w:t>
      </w:r>
    </w:p>
    <w:p>
      <w:pPr>
        <w:pStyle w:val="BodyText"/>
      </w:pPr>
      <w:r>
        <w:t xml:space="preserve">Chemical, medical, electrical, glass, and specialty uses grow with the world economy while thrift controls metal intensity. Jewelry remains a large market because platinum retains relative-value appeal against gold. Investment alternates between inflow and liquidation rather than accumulating without limit.</w:t>
      </w:r>
    </w:p>
    <w:p>
      <w:pPr>
        <w:pStyle w:val="BodyText"/>
      </w:pPr>
      <w:r>
        <w:t xml:space="preserve">Total demand is 7.8 million ounces in 2030, 7.6 million in 2035, 7.5 million in 2040, and 7.7 million in 2051. Secondary supply reaches 35 percent of demand by 2051. Primary requirement is about 5.01 million ounces, below the 2026 mine baseline but high enough to require successful life extensions, Platreef and other additions, and disciplined closure of marginal capacity.</w:t>
      </w:r>
    </w:p>
    <w:p>
      <w:pPr>
        <w:pStyle w:val="BodyText"/>
      </w:pPr>
      <w:r>
        <w:t xml:space="preserve">This is the central planning scenario. It does not assume that lost autocatalyst demand is magically replaced. It assumes that a portfolio of hydrogen, industrial, medical, jewelry, and investment uses largely offsets the decline over twenty-five years.</w:t>
      </w:r>
    </w:p>
    <w:bookmarkEnd w:id="80"/>
    <w:bookmarkStart w:id="84" w:name="Xfe92ba86afc5025b1174e5ed846b1abb2a64378"/>
    <w:p>
      <w:pPr>
        <w:pStyle w:val="Heading3"/>
      </w:pPr>
      <w:r>
        <w:t xml:space="preserve">Scenario C: Hydrogen, hybrids, and constrained supply</w:t>
      </w:r>
    </w:p>
    <w:p>
      <w:pPr>
        <w:pStyle w:val="FirstParagraph"/>
      </w:pPr>
      <w:r>
        <w:t xml:space="preserve">Battery-electric adoption continues, but infrastructure limits, affordability, trade policy, and heavy-duty requirements keep hybrids and combustion systems in service longer. Emissions standards become stricter across emerging economies. Platinum captures additional gasoline catalyst share from palladium.</w:t>
      </w:r>
    </w:p>
    <w:p>
      <w:pPr>
        <w:pStyle w:val="BodyText"/>
      </w:pPr>
      <w:r>
        <w:t xml:space="preserve">Low-emissions hydrogen scales faster after 2030. PEM electrolysis wins a significant share where dynamic operation and compact footprint matter. Fuel cells expand in trucks, buses, mining equipment, ports, marine, stationary power, and selected aviation systems. Catalyst loading declines, but installed capacity and replacement demand grow faster. New industrial and digital applications add further demand.</w:t>
      </w:r>
    </w:p>
    <w:p>
      <w:pPr>
        <w:pStyle w:val="BodyText"/>
      </w:pPr>
      <w:r>
        <w:t xml:space="preserve">Total demand reaches 8.9 million ounces in 2035, 9.5 million in 2040, and 10.5 million in 2051. Secondary share rises to 32 percent, providing 3.36 million ounces. Primary requirement is about 7.14 million ounces, nearly 1.6 million above forecast 2026 mine supply. This requires successful new projects, brownfield expansion, better recovery, and sustained high prices. If supply does not arrive, the scenario resolves through substitution, demand destruction, stock release, or even higher prices.</w:t>
      </w:r>
    </w:p>
    <w:p>
      <w:pPr>
        <w:pStyle w:val="CaptionedFigure"/>
      </w:pPr>
      <w:r>
        <w:drawing>
          <wp:inline>
            <wp:extent cx="6451600" cy="3910269"/>
            <wp:effectExtent b="0" l="0" r="0" t="0"/>
            <wp:docPr descr="Line chart showing platinum demand reaching 5.6, 7.7, or 10.5 million ounces by 2051 under three scenarios." title="" id="82" name="Picture"/>
            <a:graphic>
              <a:graphicData uri="http://schemas.openxmlformats.org/drawingml/2006/picture">
                <pic:pic>
                  <pic:nvPicPr>
                    <pic:cNvPr descr="platinum_outlook_assets/platinum_demand_scenarios_2026_2051.png" id="83" name="Picture"/>
                    <pic:cNvPicPr>
                      <a:picLocks noChangeArrowheads="1" noChangeAspect="1"/>
                    </pic:cNvPicPr>
                  </pic:nvPicPr>
                  <pic:blipFill>
                    <a:blip r:embed="rId81"/>
                    <a:stretch>
                      <a:fillRect/>
                    </a:stretch>
                  </pic:blipFill>
                  <pic:spPr bwMode="auto">
                    <a:xfrm>
                      <a:off x="0" y="0"/>
                      <a:ext cx="6451600" cy="3910269"/>
                    </a:xfrm>
                    <a:prstGeom prst="rect">
                      <a:avLst/>
                    </a:prstGeom>
                    <a:noFill/>
                    <a:ln w="9525">
                      <a:noFill/>
                      <a:headEnd/>
                      <a:tailEnd/>
                    </a:ln>
                  </pic:spPr>
                </pic:pic>
              </a:graphicData>
            </a:graphic>
          </wp:inline>
        </w:drawing>
      </w:r>
    </w:p>
    <w:p>
      <w:pPr>
        <w:pStyle w:val="ImageCaption"/>
      </w:pPr>
      <w:r>
        <w:t xml:space="preserve">Line chart showing platinum demand reaching 5.6, 7.7, or 10.5 million ounces by 2051 under three scenarios.</w:t>
      </w:r>
    </w:p>
    <w:p>
      <w:pPr>
        <w:pStyle w:val="BodyText"/>
      </w:pPr>
      <w:r>
        <w:rPr>
          <w:i/>
          <w:iCs/>
        </w:rPr>
        <w:t xml:space="preserve">Figure 2. AllMetalPrices platinum-demand scenarios. The paths are rounded, internally consistent planning cases, not probability-weighted forecasts.</w:t>
      </w:r>
    </w:p>
    <w:bookmarkEnd w:id="84"/>
    <w:bookmarkStart w:id="85" w:name="scenario-table"/>
    <w:p>
      <w:pPr>
        <w:pStyle w:val="Heading3"/>
      </w:pPr>
      <w:r>
        <w:t xml:space="preserve">Scenario table</w:t>
      </w:r>
    </w:p>
    <w:tbl>
      <w:tblPr>
        <w:tblStyle w:val="Table"/>
        <w:tblW w:type="pct" w:w="5000"/>
        <w:jc w:val="left"/>
        <w:tblLayout w:type="autofit"/>
        <w:tblLook w:firstRow="1" w:lastRow="0" w:firstColumn="0" w:lastColumn="0" w:noHBand="0" w:noVBand="0" w:val="0020"/>
      </w:tblPr>
      <w:tblGrid>
        <w:gridCol w:w="1250"/>
        <w:gridCol w:w="1667"/>
        <w:gridCol w:w="1667"/>
        <w:gridCol w:w="1667"/>
        <w:gridCol w:w="1667"/>
      </w:tblGrid>
      <w:tr>
        <w:trPr>
          <w:tblHeader w:val="on"/>
        </w:trPr>
        <w:tc>
          <w:tcPr/>
          <w:p>
            <w:pPr>
              <w:pStyle w:val="Compact"/>
              <w:spacing w:before="0" w:after="17" w:line="230" w:lineRule="auto"/>
              <w:jc w:val="left"/>
            </w:pPr>
            <w:r>
              <w:rPr>
                <w:rFonts w:ascii="Noto Serif" w:hAnsi="Noto Serif"/>
                <w:b/>
                <w:sz w:val="15"/>
              </w:rPr>
              <w:t xml:space="preserve">AllMetalPrices scenario</w:t>
            </w:r>
          </w:p>
        </w:tc>
        <w:tc>
          <w:tcPr/>
          <w:p>
            <w:pPr>
              <w:pStyle w:val="Compact"/>
              <w:spacing w:before="0" w:after="17" w:line="230" w:lineRule="auto"/>
              <w:jc w:val="right"/>
            </w:pPr>
            <w:r>
              <w:rPr>
                <w:rFonts w:ascii="Noto Serif" w:hAnsi="Noto Serif"/>
                <w:b/>
                <w:sz w:val="15"/>
              </w:rPr>
              <w:t xml:space="preserve">2051 demand</w:t>
            </w:r>
          </w:p>
        </w:tc>
        <w:tc>
          <w:tcPr/>
          <w:p>
            <w:pPr>
              <w:pStyle w:val="Compact"/>
              <w:spacing w:before="0" w:after="17" w:line="230" w:lineRule="auto"/>
              <w:jc w:val="right"/>
            </w:pPr>
            <w:r>
              <w:rPr>
                <w:rFonts w:ascii="Noto Serif" w:hAnsi="Noto Serif"/>
                <w:b/>
                <w:sz w:val="15"/>
              </w:rPr>
              <w:t xml:space="preserve">2051 secondary share</w:t>
            </w:r>
          </w:p>
        </w:tc>
        <w:tc>
          <w:tcPr/>
          <w:p>
            <w:pPr>
              <w:pStyle w:val="Compact"/>
              <w:spacing w:before="0" w:after="17" w:line="230" w:lineRule="auto"/>
              <w:jc w:val="right"/>
            </w:pPr>
            <w:r>
              <w:rPr>
                <w:rFonts w:ascii="Noto Serif" w:hAnsi="Noto Serif"/>
                <w:b/>
                <w:sz w:val="15"/>
              </w:rPr>
              <w:t xml:space="preserve">2051 primary requirement</w:t>
            </w:r>
          </w:p>
        </w:tc>
        <w:tc>
          <w:tcPr/>
          <w:p>
            <w:pPr>
              <w:pStyle w:val="Compact"/>
              <w:spacing w:before="0" w:after="17" w:line="230" w:lineRule="auto"/>
              <w:jc w:val="right"/>
            </w:pPr>
            <w:r>
              <w:rPr>
                <w:rFonts w:ascii="Noto Serif" w:hAnsi="Noto Serif"/>
                <w:b/>
                <w:sz w:val="15"/>
              </w:rPr>
              <w:t xml:space="preserve">Sustained 2051 real-price band</w:t>
            </w:r>
          </w:p>
        </w:tc>
      </w:tr>
      <w:tr>
        <w:tc>
          <w:tcPr/>
          <w:p>
            <w:pPr>
              <w:pStyle w:val="Compact"/>
              <w:spacing w:before="0" w:after="17" w:line="230" w:lineRule="auto"/>
              <w:jc w:val="left"/>
            </w:pPr>
            <w:r>
              <w:rPr>
                <w:rFonts w:ascii="Noto Serif" w:hAnsi="Noto Serif"/>
                <w:sz w:val="15"/>
              </w:rPr>
              <w:t xml:space="preserve">Battery dominance and metal thrift</w:t>
            </w:r>
          </w:p>
        </w:tc>
        <w:tc>
          <w:tcPr/>
          <w:p>
            <w:pPr>
              <w:pStyle w:val="Compact"/>
              <w:spacing w:before="0" w:after="17" w:line="230" w:lineRule="auto"/>
              <w:jc w:val="right"/>
            </w:pPr>
            <w:r>
              <w:rPr>
                <w:rFonts w:ascii="Noto Serif" w:hAnsi="Noto Serif"/>
                <w:sz w:val="15"/>
              </w:rPr>
              <w:t xml:space="preserve">5.6 Moz</w:t>
            </w:r>
          </w:p>
        </w:tc>
        <w:tc>
          <w:tcPr/>
          <w:p>
            <w:pPr>
              <w:pStyle w:val="Compact"/>
              <w:spacing w:before="0" w:after="17" w:line="230" w:lineRule="auto"/>
              <w:jc w:val="right"/>
            </w:pPr>
            <w:r>
              <w:rPr>
                <w:rFonts w:ascii="Noto Serif" w:hAnsi="Noto Serif"/>
                <w:sz w:val="15"/>
              </w:rPr>
              <w:t xml:space="preserve">36%</w:t>
            </w:r>
          </w:p>
        </w:tc>
        <w:tc>
          <w:tcPr/>
          <w:p>
            <w:pPr>
              <w:pStyle w:val="Compact"/>
              <w:spacing w:before="0" w:after="17" w:line="230" w:lineRule="auto"/>
              <w:jc w:val="right"/>
            </w:pPr>
            <w:r>
              <w:rPr>
                <w:rFonts w:ascii="Noto Serif" w:hAnsi="Noto Serif"/>
                <w:sz w:val="15"/>
              </w:rPr>
              <w:t xml:space="preserve">3.58 Moz</w:t>
            </w:r>
          </w:p>
        </w:tc>
        <w:tc>
          <w:tcPr/>
          <w:p>
            <w:pPr>
              <w:pStyle w:val="Compact"/>
              <w:spacing w:before="0" w:after="17" w:line="230" w:lineRule="auto"/>
              <w:jc w:val="right"/>
            </w:pPr>
            <w:r>
              <w:rPr>
                <w:rFonts w:ascii="Noto Serif" w:hAnsi="Noto Serif"/>
                <w:sz w:val="15"/>
              </w:rPr>
              <w:t xml:space="preserve">$800-$1,500/oz</w:t>
            </w:r>
          </w:p>
        </w:tc>
      </w:tr>
      <w:tr>
        <w:tc>
          <w:tcPr/>
          <w:p>
            <w:pPr>
              <w:pStyle w:val="Compact"/>
              <w:spacing w:before="0" w:after="17" w:line="230" w:lineRule="auto"/>
              <w:jc w:val="left"/>
            </w:pPr>
            <w:r>
              <w:rPr>
                <w:rFonts w:ascii="Noto Serif" w:hAnsi="Noto Serif"/>
                <w:sz w:val="15"/>
              </w:rPr>
              <w:t xml:space="preserve">Managed transition and diversified demand</w:t>
            </w:r>
          </w:p>
        </w:tc>
        <w:tc>
          <w:tcPr/>
          <w:p>
            <w:pPr>
              <w:pStyle w:val="Compact"/>
              <w:spacing w:before="0" w:after="17" w:line="230" w:lineRule="auto"/>
              <w:jc w:val="right"/>
            </w:pPr>
            <w:r>
              <w:rPr>
                <w:rFonts w:ascii="Noto Serif" w:hAnsi="Noto Serif"/>
                <w:sz w:val="15"/>
              </w:rPr>
              <w:t xml:space="preserve">7.7 Moz</w:t>
            </w:r>
          </w:p>
        </w:tc>
        <w:tc>
          <w:tcPr/>
          <w:p>
            <w:pPr>
              <w:pStyle w:val="Compact"/>
              <w:spacing w:before="0" w:after="17" w:line="230" w:lineRule="auto"/>
              <w:jc w:val="right"/>
            </w:pPr>
            <w:r>
              <w:rPr>
                <w:rFonts w:ascii="Noto Serif" w:hAnsi="Noto Serif"/>
                <w:sz w:val="15"/>
              </w:rPr>
              <w:t xml:space="preserve">35%</w:t>
            </w:r>
          </w:p>
        </w:tc>
        <w:tc>
          <w:tcPr/>
          <w:p>
            <w:pPr>
              <w:pStyle w:val="Compact"/>
              <w:spacing w:before="0" w:after="17" w:line="230" w:lineRule="auto"/>
              <w:jc w:val="right"/>
            </w:pPr>
            <w:r>
              <w:rPr>
                <w:rFonts w:ascii="Noto Serif" w:hAnsi="Noto Serif"/>
                <w:sz w:val="15"/>
              </w:rPr>
              <w:t xml:space="preserve">5.01 Moz</w:t>
            </w:r>
          </w:p>
        </w:tc>
        <w:tc>
          <w:tcPr/>
          <w:p>
            <w:pPr>
              <w:pStyle w:val="Compact"/>
              <w:spacing w:before="0" w:after="17" w:line="230" w:lineRule="auto"/>
              <w:jc w:val="right"/>
            </w:pPr>
            <w:r>
              <w:rPr>
                <w:rFonts w:ascii="Noto Serif" w:hAnsi="Noto Serif"/>
                <w:sz w:val="15"/>
              </w:rPr>
              <w:t xml:space="preserve">$1,300-$2,700/oz</w:t>
            </w:r>
          </w:p>
        </w:tc>
      </w:tr>
      <w:tr>
        <w:tc>
          <w:tcPr/>
          <w:p>
            <w:pPr>
              <w:pStyle w:val="Compact"/>
              <w:spacing w:before="0" w:after="17" w:line="230" w:lineRule="auto"/>
              <w:jc w:val="left"/>
            </w:pPr>
            <w:r>
              <w:rPr>
                <w:rFonts w:ascii="Noto Serif" w:hAnsi="Noto Serif"/>
                <w:sz w:val="15"/>
              </w:rPr>
              <w:t xml:space="preserve">Hydrogen, hybrids, and constrained supply</w:t>
            </w:r>
          </w:p>
        </w:tc>
        <w:tc>
          <w:tcPr/>
          <w:p>
            <w:pPr>
              <w:pStyle w:val="Compact"/>
              <w:spacing w:before="0" w:after="17" w:line="230" w:lineRule="auto"/>
              <w:jc w:val="right"/>
            </w:pPr>
            <w:r>
              <w:rPr>
                <w:rFonts w:ascii="Noto Serif" w:hAnsi="Noto Serif"/>
                <w:sz w:val="15"/>
              </w:rPr>
              <w:t xml:space="preserve">10.5 Moz</w:t>
            </w:r>
          </w:p>
        </w:tc>
        <w:tc>
          <w:tcPr/>
          <w:p>
            <w:pPr>
              <w:pStyle w:val="Compact"/>
              <w:spacing w:before="0" w:after="17" w:line="230" w:lineRule="auto"/>
              <w:jc w:val="right"/>
            </w:pPr>
            <w:r>
              <w:rPr>
                <w:rFonts w:ascii="Noto Serif" w:hAnsi="Noto Serif"/>
                <w:sz w:val="15"/>
              </w:rPr>
              <w:t xml:space="preserve">32%</w:t>
            </w:r>
          </w:p>
        </w:tc>
        <w:tc>
          <w:tcPr/>
          <w:p>
            <w:pPr>
              <w:pStyle w:val="Compact"/>
              <w:spacing w:before="0" w:after="17" w:line="230" w:lineRule="auto"/>
              <w:jc w:val="right"/>
            </w:pPr>
            <w:r>
              <w:rPr>
                <w:rFonts w:ascii="Noto Serif" w:hAnsi="Noto Serif"/>
                <w:sz w:val="15"/>
              </w:rPr>
              <w:t xml:space="preserve">7.14 Moz</w:t>
            </w:r>
          </w:p>
        </w:tc>
        <w:tc>
          <w:tcPr/>
          <w:p>
            <w:pPr>
              <w:pStyle w:val="Compact"/>
              <w:spacing w:before="0" w:after="17" w:line="230" w:lineRule="auto"/>
              <w:jc w:val="right"/>
            </w:pPr>
            <w:r>
              <w:rPr>
                <w:rFonts w:ascii="Noto Serif" w:hAnsi="Noto Serif"/>
                <w:sz w:val="15"/>
              </w:rPr>
              <w:t xml:space="preserve">$2,300-$4,800/oz</w:t>
            </w:r>
          </w:p>
        </w:tc>
      </w:tr>
    </w:tbl>
    <w:p>
      <w:pPr>
        <w:pStyle w:val="BodyText"/>
      </w:pPr>
      <w:r>
        <w:t xml:space="preserve">The broad range is the point. The future of platinum is not a simple function of energy-transition speed. A faster transition can reduce autocatalysts while increasing PEM equipment. A slower transition can support hybrids but delay hydrogen. The result depends on technology shares and grams per unit, not slogans.</w:t>
      </w:r>
    </w:p>
    <w:bookmarkEnd w:id="85"/>
    <w:bookmarkEnd w:id="86"/>
    <w:bookmarkStart w:id="94" w:name="X834e034e68a40d81347c6bcc402c457cbf325f4"/>
    <w:p>
      <w:pPr>
        <w:pStyle w:val="Heading2"/>
      </w:pPr>
      <w:r>
        <w:t xml:space="preserve">12. Platinum price outlook in real and nominal dollars</w:t>
      </w:r>
    </w:p>
    <w:p>
      <w:pPr>
        <w:pStyle w:val="FirstParagraph"/>
      </w:pPr>
      <w:r>
        <w:t xml:space="preserve">A 2051 price forecast should state the unit, currency, inflation basis, product, location, and time period. Without those definitions, the number is marketing rather than analysis.</w:t>
      </w:r>
    </w:p>
    <w:bookmarkStart w:id="90" w:name="real-price-planning-bands"/>
    <w:p>
      <w:pPr>
        <w:pStyle w:val="Heading3"/>
      </w:pPr>
      <w:r>
        <w:t xml:space="preserve">Real-price planning bands</w:t>
      </w:r>
    </w:p>
    <w:p>
      <w:pPr>
        <w:pStyle w:val="FirstParagraph"/>
      </w:pPr>
      <w:r>
        <w:t xml:space="preserve">This report uses constant 2026 U.S. dollars per troy ounce. The bands describe a sustained market condition that could support the scenario’s supply and demand. They do not include every spike, panic liquidation, recession, exchange squeeze, or temporary regional premium.</w:t>
      </w:r>
    </w:p>
    <w:p>
      <w:pPr>
        <w:pStyle w:val="BodyText"/>
      </w:pPr>
      <w:r>
        <w:t xml:space="preserve">The low-demand band settles at $800-$1,500 per ounce by 2051. That range allows platinum to remain a high-value specialty metal while forcing restructuring of expensive production. The central band is $1,300-$2,700. Its width reflects mine concentration, investment flows, the PGM basket, and the possibility that demand is stable while available stocks vary. The high-demand band is $2,300-$4,800, a level intended to mobilize new supply and aggressive recycling while rationing marginal demand.</w:t>
      </w:r>
    </w:p>
    <w:p>
      <w:pPr>
        <w:pStyle w:val="CaptionedFigure"/>
      </w:pPr>
      <w:r>
        <w:drawing>
          <wp:inline>
            <wp:extent cx="6451600" cy="3910269"/>
            <wp:effectExtent b="0" l="0" r="0" t="0"/>
            <wp:docPr descr="Band chart showing 2051 real platinum-price ranges of $800-$1,500, $1,300-$2,700, and $2,300-$4,800 per ounce." title="" id="88" name="Picture"/>
            <a:graphic>
              <a:graphicData uri="http://schemas.openxmlformats.org/drawingml/2006/picture">
                <pic:pic>
                  <pic:nvPicPr>
                    <pic:cNvPr descr="platinum_outlook_assets/real_platinum_price_bands_2026_2051.png" id="89" name="Picture"/>
                    <pic:cNvPicPr>
                      <a:picLocks noChangeArrowheads="1" noChangeAspect="1"/>
                    </pic:cNvPicPr>
                  </pic:nvPicPr>
                  <pic:blipFill>
                    <a:blip r:embed="rId87"/>
                    <a:stretch>
                      <a:fillRect/>
                    </a:stretch>
                  </pic:blipFill>
                  <pic:spPr bwMode="auto">
                    <a:xfrm>
                      <a:off x="0" y="0"/>
                      <a:ext cx="6451600" cy="3910269"/>
                    </a:xfrm>
                    <a:prstGeom prst="rect">
                      <a:avLst/>
                    </a:prstGeom>
                    <a:noFill/>
                    <a:ln w="9525">
                      <a:noFill/>
                      <a:headEnd/>
                      <a:tailEnd/>
                    </a:ln>
                  </pic:spPr>
                </pic:pic>
              </a:graphicData>
            </a:graphic>
          </wp:inline>
        </w:drawing>
      </w:r>
    </w:p>
    <w:p>
      <w:pPr>
        <w:pStyle w:val="ImageCaption"/>
      </w:pPr>
      <w:r>
        <w:t xml:space="preserve">Band chart showing 2051 real platinum-price ranges of $800-$1,500, $1,300-$2,700, and $2,300-$4,800 per ounce.</w:t>
      </w:r>
    </w:p>
    <w:p>
      <w:pPr>
        <w:pStyle w:val="BodyText"/>
      </w:pPr>
      <w:r>
        <w:rPr>
          <w:i/>
          <w:iCs/>
        </w:rPr>
        <w:t xml:space="preserve">Figure 3. Sustained price-planning bands in constant 2026 U.S. dollars per troy ounce. These are AllMetalPrices scenario ranges, not targets for a particular year-end date.</w:t>
      </w:r>
    </w:p>
    <w:bookmarkEnd w:id="90"/>
    <w:bookmarkStart w:id="91" w:name="why-the-bands-are-wide"/>
    <w:p>
      <w:pPr>
        <w:pStyle w:val="Heading3"/>
      </w:pPr>
      <w:r>
        <w:t xml:space="preserve">Why the bands are wide</w:t>
      </w:r>
    </w:p>
    <w:p>
      <w:pPr>
        <w:pStyle w:val="FirstParagraph"/>
      </w:pPr>
      <w:r>
        <w:t xml:space="preserve">Platinum supply and demand are both price-responsive, but with different lags. Recycling can respond within months if collectors have inventory. Jewelry scrap and ETF metal can return quickly. Mine projects take years. Autocatalyst substitution and vehicle design take model cycles. Industrial users can lease or draw inventory before redesigning a process.</w:t>
      </w:r>
    </w:p>
    <w:p>
      <w:pPr>
        <w:pStyle w:val="BodyText"/>
      </w:pPr>
      <w:r>
        <w:t xml:space="preserve">Investment amplifies the moves. A small market can experience large changes when ETFs, exchange stocks, or bars shift. Currency matters because much of mine cost is in South African rand while the benchmark is in U.S. dollars. Palladium and rhodium influence mine economics even when platinum is the quoted metal. A single equilibrium price cannot capture all of this.</w:t>
      </w:r>
    </w:p>
    <w:bookmarkEnd w:id="91"/>
    <w:bookmarkStart w:id="92" w:name="nominal-price-is-not-real-price"/>
    <w:p>
      <w:pPr>
        <w:pStyle w:val="Heading3"/>
      </w:pPr>
      <w:r>
        <w:t xml:space="preserve">Nominal price is not real price</w:t>
      </w:r>
    </w:p>
    <w:p>
      <w:pPr>
        <w:pStyle w:val="FirstParagraph"/>
      </w:pPr>
      <w:r>
        <w:t xml:space="preserve">At 2.5 percent annual inflation, one 2026 dollar becomes about $1.85 in 2051. A real 2051 central band of $1,300-$2,700 would therefore be roughly $2,410-$5,010 in nominal 2051 dollars under that single inflation assumption. The metal is not necessarily twice as valuable; the measuring unit has changed.</w:t>
      </w:r>
    </w:p>
    <w:p>
      <w:pPr>
        <w:pStyle w:val="BodyText"/>
      </w:pPr>
      <w:r>
        <w:t xml:space="preserve">Long-term comparisons should therefore deflate historical prices and label future numbers. Articles that predict</w:t>
      </w:r>
      <w:r>
        <w:t xml:space="preserve"> </w:t>
      </w:r>
      <w:r>
        <w:t xml:space="preserve">“</w:t>
      </w:r>
      <w:r>
        <w:t xml:space="preserve">$5,000 platinum by 2050</w:t>
      </w:r>
      <w:r>
        <w:t xml:space="preserve">”</w:t>
      </w:r>
      <w:r>
        <w:t xml:space="preserve"> </w:t>
      </w:r>
      <w:r>
        <w:t xml:space="preserve">without an inflation basis may be describing anything from a modest real gain to an extreme shortage.</w:t>
      </w:r>
    </w:p>
    <w:bookmarkEnd w:id="92"/>
    <w:bookmarkStart w:id="93" w:name="benchmark-versus-transaction-price"/>
    <w:p>
      <w:pPr>
        <w:pStyle w:val="Heading3"/>
      </w:pPr>
      <w:r>
        <w:t xml:space="preserve">Benchmark versus transaction price</w:t>
      </w:r>
    </w:p>
    <w:p>
      <w:pPr>
        <w:pStyle w:val="FirstParagraph"/>
      </w:pPr>
      <w:r>
        <w:t xml:space="preserve">The London benchmark is for unallocated platinum delivered in London. A physical invoice can differ materially.</w:t>
      </w:r>
    </w:p>
    <w:p>
      <w:pPr>
        <w:pStyle w:val="Compact"/>
        <w:numPr>
          <w:ilvl w:val="0"/>
          <w:numId w:val="1004"/>
        </w:numPr>
      </w:pPr>
      <w:r>
        <w:rPr>
          <w:b/>
          <w:bCs/>
        </w:rPr>
        <w:t xml:space="preserve">Good Delivery plate or ingot:</w:t>
      </w:r>
      <w:r>
        <w:t xml:space="preserve"> </w:t>
      </w:r>
      <w:r>
        <w:t xml:space="preserve">benchmark plus or minus location, brand, vault, financing, and delivery adjustments.</w:t>
      </w:r>
    </w:p>
    <w:p>
      <w:pPr>
        <w:pStyle w:val="Compact"/>
        <w:numPr>
          <w:ilvl w:val="0"/>
          <w:numId w:val="1004"/>
        </w:numPr>
      </w:pPr>
      <w:r>
        <w:rPr>
          <w:b/>
          <w:bCs/>
        </w:rPr>
        <w:t xml:space="preserve">Sponge or powder:</w:t>
      </w:r>
      <w:r>
        <w:t xml:space="preserve"> </w:t>
      </w:r>
      <w:r>
        <w:t xml:space="preserve">benchmark plus conversion, quality, packaging, credit, and fabrication capacity.</w:t>
      </w:r>
    </w:p>
    <w:p>
      <w:pPr>
        <w:pStyle w:val="Compact"/>
        <w:numPr>
          <w:ilvl w:val="0"/>
          <w:numId w:val="1004"/>
        </w:numPr>
      </w:pPr>
      <w:r>
        <w:rPr>
          <w:b/>
          <w:bCs/>
        </w:rPr>
        <w:t xml:space="preserve">Industrial product:</w:t>
      </w:r>
      <w:r>
        <w:t xml:space="preserve"> </w:t>
      </w:r>
      <w:r>
        <w:t xml:space="preserve">metal value plus alloying, engineering, manufacture, inspection, leasing, and return terms.</w:t>
      </w:r>
    </w:p>
    <w:p>
      <w:pPr>
        <w:pStyle w:val="Compact"/>
        <w:numPr>
          <w:ilvl w:val="0"/>
          <w:numId w:val="1004"/>
        </w:numPr>
      </w:pPr>
      <w:r>
        <w:rPr>
          <w:b/>
          <w:bCs/>
        </w:rPr>
        <w:t xml:space="preserve">Autocatalyst scrap:</w:t>
      </w:r>
      <w:r>
        <w:t xml:space="preserve"> </w:t>
      </w:r>
      <w:r>
        <w:t xml:space="preserve">recovered assay value minus treatment, refining, finance, sampling, and commercial margin.</w:t>
      </w:r>
    </w:p>
    <w:p>
      <w:pPr>
        <w:pStyle w:val="Compact"/>
        <w:numPr>
          <w:ilvl w:val="0"/>
          <w:numId w:val="1004"/>
        </w:numPr>
      </w:pPr>
      <w:r>
        <w:rPr>
          <w:b/>
          <w:bCs/>
        </w:rPr>
        <w:t xml:space="preserve">Jewelry scrap:</w:t>
      </w:r>
      <w:r>
        <w:t xml:space="preserve"> </w:t>
      </w:r>
      <w:r>
        <w:t xml:space="preserve">fine-metal value minus testing, non-metal deductions, refining, and buyer margin.</w:t>
      </w:r>
    </w:p>
    <w:p>
      <w:pPr>
        <w:pStyle w:val="Compact"/>
        <w:numPr>
          <w:ilvl w:val="0"/>
          <w:numId w:val="1004"/>
        </w:numPr>
      </w:pPr>
      <w:r>
        <w:rPr>
          <w:b/>
          <w:bCs/>
        </w:rPr>
        <w:t xml:space="preserve">Bullion coin or small bar:</w:t>
      </w:r>
      <w:r>
        <w:t xml:space="preserve"> </w:t>
      </w:r>
      <w:r>
        <w:t xml:space="preserve">metal value plus minting, distribution, inventory, and retail premium.</w:t>
      </w:r>
    </w:p>
    <w:p>
      <w:pPr>
        <w:pStyle w:val="Compact"/>
        <w:numPr>
          <w:ilvl w:val="0"/>
          <w:numId w:val="1004"/>
        </w:numPr>
      </w:pPr>
      <w:r>
        <w:rPr>
          <w:b/>
          <w:bCs/>
        </w:rPr>
        <w:t xml:space="preserve">Futures or ETF exposure:</w:t>
      </w:r>
      <w:r>
        <w:t xml:space="preserve"> </w:t>
      </w:r>
      <w:r>
        <w:t xml:space="preserve">market price plus fees, margin, custody, roll, and basis considerations.</w:t>
      </w:r>
    </w:p>
    <w:p>
      <w:pPr>
        <w:pStyle w:val="FirstParagraph"/>
      </w:pPr>
      <w:r>
        <w:t xml:space="preserve">A buyer or seller should never treat a search-engine spot price as a guaranteed cash quote for an unidentified object.</w:t>
      </w:r>
    </w:p>
    <w:bookmarkEnd w:id="93"/>
    <w:bookmarkEnd w:id="94"/>
    <w:bookmarkStart w:id="99" w:name="how-platinum-buying-is-likely-to-change"/>
    <w:p>
      <w:pPr>
        <w:pStyle w:val="Heading2"/>
      </w:pPr>
      <w:r>
        <w:t xml:space="preserve">13. How platinum buying is likely to change</w:t>
      </w:r>
    </w:p>
    <w:p>
      <w:pPr>
        <w:pStyle w:val="FirstParagraph"/>
      </w:pPr>
      <w:r>
        <w:t xml:space="preserve">The next twenty-five years will reward buyers that manage platinum as a technical and financial system rather than a one-line commodity purchase.</w:t>
      </w:r>
    </w:p>
    <w:bookmarkStart w:id="95" w:name="Xa0a5b1dd3e438cfeb4d74c83594969a12f7c250"/>
    <w:p>
      <w:pPr>
        <w:pStyle w:val="Heading3"/>
      </w:pPr>
      <w:r>
        <w:t xml:space="preserve">Procurement will combine metal, fabrication, and recovery</w:t>
      </w:r>
    </w:p>
    <w:p>
      <w:pPr>
        <w:pStyle w:val="FirstParagraph"/>
      </w:pPr>
      <w:r>
        <w:t xml:space="preserve">Industrial buyers will increasingly contract for the entire loop: primary or recycled input, fabrication, metal financing, operating loss, collection, assay, refining, and return. This reduces exposure to a single spot purchase and creates clearer accountability for ounces.</w:t>
      </w:r>
    </w:p>
    <w:p>
      <w:pPr>
        <w:pStyle w:val="BodyText"/>
      </w:pPr>
      <w:r>
        <w:t xml:space="preserve">A catalyst buyer may own the metal while paying a manufacturer for conversion. A glassmaker may lease metal for a campaign and settle losses at the end. A fuel-cell company may use a consignment account with recovery rights written into warranties. These structures make metal ownership visible and reduce waste.</w:t>
      </w:r>
    </w:p>
    <w:bookmarkEnd w:id="95"/>
    <w:bookmarkStart w:id="96" w:name="X16103a46ef0e9b3894844ad5c9f74a2a7321b63"/>
    <w:p>
      <w:pPr>
        <w:pStyle w:val="Heading3"/>
      </w:pPr>
      <w:r>
        <w:t xml:space="preserve">Supplier concentration will be measured by bottleneck</w:t>
      </w:r>
    </w:p>
    <w:p>
      <w:pPr>
        <w:pStyle w:val="FirstParagraph"/>
      </w:pPr>
      <w:r>
        <w:t xml:space="preserve">Buying from three distributors does not create diversification if all material comes from one refinery or mine region. Procurement teams will map mine, smelter, refiner, fabricator, vault, carrier, and recycler. They will also map qualification: how long would it take to approve an alternative powder, gauze, or catalyst?</w:t>
      </w:r>
    </w:p>
    <w:p>
      <w:pPr>
        <w:pStyle w:val="BodyText"/>
      </w:pPr>
      <w:r>
        <w:t xml:space="preserve">Strategic inventory will be held at the stage that protects production. Generic ingot is not always useful when the bottleneck is fabricated gauze. Finished catalyst may be expensive to stock but faster to deploy. The right buffer depends on conversion time and shelf life.</w:t>
      </w:r>
    </w:p>
    <w:bookmarkEnd w:id="96"/>
    <w:bookmarkStart w:id="97" w:name="hedging-will-become-more-layered"/>
    <w:p>
      <w:pPr>
        <w:pStyle w:val="Heading3"/>
      </w:pPr>
      <w:r>
        <w:t xml:space="preserve">Hedging will become more layered</w:t>
      </w:r>
    </w:p>
    <w:p>
      <w:pPr>
        <w:pStyle w:val="FirstParagraph"/>
      </w:pPr>
      <w:r>
        <w:t xml:space="preserve">A buyer can hedge the platinum benchmark while remaining exposed to fabrication, lease rates, regional premium, palladium and rhodium substitution, currency, or scrap-recovery variance. The hedge should match the commercial exposure in quantity and timing.</w:t>
      </w:r>
    </w:p>
    <w:p>
      <w:pPr>
        <w:pStyle w:val="BodyText"/>
      </w:pPr>
      <w:r>
        <w:t xml:space="preserve">Long-term contracts may use average benchmark prices, caps and collars, fixed fabrication charges, pass-through energy, and periodic metal-account reconciliation. Exchanges in London-linked, New York, Japanese, and Chinese markets will provide more tools, but also more basis choices.</w:t>
      </w:r>
    </w:p>
    <w:bookmarkEnd w:id="97"/>
    <w:bookmarkStart w:id="98" w:name="traceability-becomes-a-specification"/>
    <w:p>
      <w:pPr>
        <w:pStyle w:val="Heading3"/>
      </w:pPr>
      <w:r>
        <w:t xml:space="preserve">Traceability becomes a specification</w:t>
      </w:r>
    </w:p>
    <w:p>
      <w:pPr>
        <w:pStyle w:val="FirstParagraph"/>
      </w:pPr>
      <w:r>
        <w:t xml:space="preserve">Responsible-sourcing evidence, recycled content, emissions data, and sanctions screening will increasingly sit beside purity and particle size. Buyers should define acceptable evidence and audit rights before a shortage. Vague sustainability language becomes unworkable when a supplier cannot prove origin.</w:t>
      </w:r>
    </w:p>
    <w:bookmarkEnd w:id="98"/>
    <w:bookmarkEnd w:id="99"/>
    <w:bookmarkStart w:id="104" w:name="how-platinum-selling-is-likely-to-change"/>
    <w:p>
      <w:pPr>
        <w:pStyle w:val="Heading2"/>
      </w:pPr>
      <w:r>
        <w:t xml:space="preserve">14. How platinum selling is likely to change</w:t>
      </w:r>
    </w:p>
    <w:p>
      <w:pPr>
        <w:pStyle w:val="FirstParagraph"/>
      </w:pPr>
      <w:r>
        <w:t xml:space="preserve">Sellers will earn more by reducing uncertainty than by repeating the spot price.</w:t>
      </w:r>
    </w:p>
    <w:bookmarkStart w:id="100" w:name="mine-sellers"/>
    <w:p>
      <w:pPr>
        <w:pStyle w:val="Heading3"/>
      </w:pPr>
      <w:r>
        <w:t xml:space="preserve">Mine sellers</w:t>
      </w:r>
    </w:p>
    <w:p>
      <w:pPr>
        <w:pStyle w:val="FirstParagraph"/>
      </w:pPr>
      <w:r>
        <w:t xml:space="preserve">Mines will market a basket, not only platinum. Better recovery, blending, by-product accounting, energy security, and responsible-sourcing evidence can increase net realization. Long-term offtake can support financing, but sellers should preserve destination and benchmark flexibility where possible.</w:t>
      </w:r>
    </w:p>
    <w:p>
      <w:pPr>
        <w:pStyle w:val="BodyText"/>
      </w:pPr>
      <w:r>
        <w:t xml:space="preserve">A mine’s strongest commercial asset may be reliability. Buyers can pay for consistent delivery from a qualified chain even when lower-priced metal exists elsewhere.</w:t>
      </w:r>
    </w:p>
    <w:bookmarkEnd w:id="100"/>
    <w:bookmarkStart w:id="101" w:name="refiners-and-fabricators"/>
    <w:p>
      <w:pPr>
        <w:pStyle w:val="Heading3"/>
      </w:pPr>
      <w:r>
        <w:t xml:space="preserve">Refiners and fabricators</w:t>
      </w:r>
    </w:p>
    <w:p>
      <w:pPr>
        <w:pStyle w:val="FirstParagraph"/>
      </w:pPr>
      <w:r>
        <w:t xml:space="preserve">Refiners will compete on assay credibility, speed, recovery, product range, metal-account systems, responsible sourcing, and ability to process complex feeds. Fabricators will add application engineering, inventory, repair, and closed-loop service. Their margin becomes less dependent on directional price and more on indispensable technical capacity.</w:t>
      </w:r>
    </w:p>
    <w:bookmarkEnd w:id="101"/>
    <w:bookmarkStart w:id="102" w:name="X126645878db9357e1a54eea159af1e57a1e6642"/>
    <w:p>
      <w:pPr>
        <w:pStyle w:val="Heading3"/>
      </w:pPr>
      <w:r>
        <w:t xml:space="preserve">Autocatalyst and industrial-scrap sellers</w:t>
      </w:r>
    </w:p>
    <w:p>
      <w:pPr>
        <w:pStyle w:val="FirstParagraph"/>
      </w:pPr>
      <w:r>
        <w:t xml:space="preserve">Scrap sellers should document provenance, prevent dilution, compare net settlements, and understand sampling. Large sellers can split referee samples, audit weights, and hedge provisional exposure. Small sellers benefit from standardized codes and transparent buyers but should avoid quotes based on gross converter weight alone.</w:t>
      </w:r>
    </w:p>
    <w:p>
      <w:pPr>
        <w:pStyle w:val="BodyText"/>
      </w:pPr>
      <w:r>
        <w:t xml:space="preserve">Industrial users should write metal ownership and return obligations into equipment contracts before installation. A missing clause in 2028 can become a disputed asset in 2040.</w:t>
      </w:r>
    </w:p>
    <w:bookmarkEnd w:id="102"/>
    <w:bookmarkStart w:id="103" w:name="jewelry-and-investment-sellers"/>
    <w:p>
      <w:pPr>
        <w:pStyle w:val="Heading3"/>
      </w:pPr>
      <w:r>
        <w:t xml:space="preserve">Jewelry and investment sellers</w:t>
      </w:r>
    </w:p>
    <w:p>
      <w:pPr>
        <w:pStyle w:val="FirstParagraph"/>
      </w:pPr>
      <w:r>
        <w:t xml:space="preserve">The seller should identify whether the object has value beyond melt, then compare fine-weight, payability, fees, and settlement time. Investors should understand that a futures position, ETF share, vaulted bar, and retail coin have different liquidity and costs. A high benchmark does not guarantee a favorable dealer bid.</w:t>
      </w:r>
    </w:p>
    <w:bookmarkEnd w:id="103"/>
    <w:bookmarkEnd w:id="104"/>
    <w:bookmarkStart w:id="108" w:name="Xc08589bdad9ca6c5cf202b8228d6bc832077df4"/>
    <w:p>
      <w:pPr>
        <w:pStyle w:val="Heading2"/>
      </w:pPr>
      <w:r>
        <w:t xml:space="preserve">15. Milestones, signposts, and practical playbooks</w:t>
      </w:r>
    </w:p>
    <w:p>
      <w:pPr>
        <w:pStyle w:val="FirstParagraph"/>
      </w:pPr>
      <w:r>
        <w:t xml:space="preserve">A long-range outlook is useful only if it can be revised. The following milestones identify evidence that would move the scenarios.</w:t>
      </w:r>
    </w:p>
    <w:tbl>
      <w:tblPr>
        <w:tblStyle w:val="Table"/>
        <w:tblW w:type="pct" w:w="5000"/>
        <w:jc w:val="left"/>
        <w:tblLayout w:type="autofit"/>
        <w:tblLook w:firstRow="1" w:lastRow="0" w:firstColumn="0" w:lastColumn="0" w:noHBand="0" w:noVBand="0" w:val="0020"/>
      </w:tblPr>
      <w:tblGrid>
        <w:gridCol w:w="2640"/>
        <w:gridCol w:w="2640"/>
        <w:gridCol w:w="2640"/>
      </w:tblGrid>
      <w:tr>
        <w:trPr>
          <w:tblHeader w:val="on"/>
        </w:trPr>
        <w:tc>
          <w:tcPr/>
          <w:p>
            <w:pPr>
              <w:pStyle w:val="Compact"/>
              <w:spacing w:before="0" w:after="17" w:line="230" w:lineRule="auto"/>
              <w:jc w:val="left"/>
            </w:pPr>
            <w:r>
              <w:rPr>
                <w:rFonts w:ascii="Noto Serif" w:hAnsi="Noto Serif"/>
                <w:b/>
                <w:sz w:val="15"/>
              </w:rPr>
              <w:t xml:space="preserve">Milestone</w:t>
            </w:r>
          </w:p>
        </w:tc>
        <w:tc>
          <w:tcPr/>
          <w:p>
            <w:pPr>
              <w:pStyle w:val="Compact"/>
              <w:spacing w:before="0" w:after="17" w:line="230" w:lineRule="auto"/>
              <w:jc w:val="left"/>
            </w:pPr>
            <w:r>
              <w:rPr>
                <w:rFonts w:ascii="Noto Serif" w:hAnsi="Noto Serif"/>
                <w:b/>
                <w:sz w:val="15"/>
              </w:rPr>
              <w:t xml:space="preserve">Evidence to watch</w:t>
            </w:r>
          </w:p>
        </w:tc>
        <w:tc>
          <w:tcPr/>
          <w:p>
            <w:pPr>
              <w:pStyle w:val="Compact"/>
              <w:spacing w:before="0" w:after="17" w:line="230" w:lineRule="auto"/>
              <w:jc w:val="left"/>
            </w:pPr>
            <w:r>
              <w:rPr>
                <w:rFonts w:ascii="Noto Serif" w:hAnsi="Noto Serif"/>
                <w:b/>
                <w:sz w:val="15"/>
              </w:rPr>
              <w:t xml:space="preserve">Why it matters</w:t>
            </w:r>
          </w:p>
        </w:tc>
      </w:tr>
      <w:tr>
        <w:tc>
          <w:tcPr/>
          <w:p>
            <w:pPr>
              <w:pStyle w:val="Compact"/>
              <w:spacing w:before="0" w:after="17" w:line="230" w:lineRule="auto"/>
              <w:jc w:val="left"/>
            </w:pPr>
            <w:r>
              <w:rPr>
                <w:rFonts w:ascii="Noto Serif" w:hAnsi="Noto Serif"/>
                <w:sz w:val="15"/>
              </w:rPr>
              <w:t xml:space="preserve">By 2030</w:t>
            </w:r>
          </w:p>
        </w:tc>
        <w:tc>
          <w:tcPr/>
          <w:p>
            <w:pPr>
              <w:pStyle w:val="Compact"/>
              <w:spacing w:before="0" w:after="17" w:line="230" w:lineRule="auto"/>
              <w:jc w:val="left"/>
            </w:pPr>
            <w:r>
              <w:rPr>
                <w:rFonts w:ascii="Noto Serif" w:hAnsi="Noto Serif"/>
                <w:sz w:val="15"/>
              </w:rPr>
              <w:t xml:space="preserve">BEV and hybrid shares; annual PEM installations; PGM loading per kW; Platreef ramp-up; autocatalyst collection</w:t>
            </w:r>
          </w:p>
        </w:tc>
        <w:tc>
          <w:tcPr/>
          <w:p>
            <w:pPr>
              <w:pStyle w:val="Compact"/>
              <w:spacing w:before="0" w:after="17" w:line="230" w:lineRule="auto"/>
              <w:jc w:val="left"/>
            </w:pPr>
            <w:r>
              <w:rPr>
                <w:rFonts w:ascii="Noto Serif" w:hAnsi="Noto Serif"/>
                <w:sz w:val="15"/>
              </w:rPr>
              <w:t xml:space="preserve">Establishes whether automotive decline or hydrogen growth is arriving first</w:t>
            </w:r>
          </w:p>
        </w:tc>
      </w:tr>
      <w:tr>
        <w:tc>
          <w:tcPr/>
          <w:p>
            <w:pPr>
              <w:pStyle w:val="Compact"/>
              <w:spacing w:before="0" w:after="17" w:line="230" w:lineRule="auto"/>
              <w:jc w:val="left"/>
            </w:pPr>
            <w:r>
              <w:rPr>
                <w:rFonts w:ascii="Noto Serif" w:hAnsi="Noto Serif"/>
                <w:sz w:val="15"/>
              </w:rPr>
              <w:t xml:space="preserve">By 2035</w:t>
            </w:r>
          </w:p>
        </w:tc>
        <w:tc>
          <w:tcPr/>
          <w:p>
            <w:pPr>
              <w:pStyle w:val="Compact"/>
              <w:spacing w:before="0" w:after="17" w:line="230" w:lineRule="auto"/>
              <w:jc w:val="left"/>
            </w:pPr>
            <w:r>
              <w:rPr>
                <w:rFonts w:ascii="Noto Serif" w:hAnsi="Noto Serif"/>
                <w:sz w:val="15"/>
              </w:rPr>
              <w:t xml:space="preserve">Heavy-duty fuel-cell fleets; global emissions standards; mine closures and expansions; secondary share above 30%</w:t>
            </w:r>
          </w:p>
        </w:tc>
        <w:tc>
          <w:tcPr/>
          <w:p>
            <w:pPr>
              <w:pStyle w:val="Compact"/>
              <w:spacing w:before="0" w:after="17" w:line="230" w:lineRule="auto"/>
              <w:jc w:val="left"/>
            </w:pPr>
            <w:r>
              <w:rPr>
                <w:rFonts w:ascii="Noto Serif" w:hAnsi="Noto Serif"/>
                <w:sz w:val="15"/>
              </w:rPr>
              <w:t xml:space="preserve">Separates a diversified market from battery-dominance or supply-tight paths</w:t>
            </w:r>
          </w:p>
        </w:tc>
      </w:tr>
      <w:tr>
        <w:tc>
          <w:tcPr/>
          <w:p>
            <w:pPr>
              <w:pStyle w:val="Compact"/>
              <w:spacing w:before="0" w:after="17" w:line="230" w:lineRule="auto"/>
              <w:jc w:val="left"/>
            </w:pPr>
            <w:r>
              <w:rPr>
                <w:rFonts w:ascii="Noto Serif" w:hAnsi="Noto Serif"/>
                <w:sz w:val="15"/>
              </w:rPr>
              <w:t xml:space="preserve">By 2040</w:t>
            </w:r>
          </w:p>
        </w:tc>
        <w:tc>
          <w:tcPr/>
          <w:p>
            <w:pPr>
              <w:pStyle w:val="Compact"/>
              <w:spacing w:before="0" w:after="17" w:line="230" w:lineRule="auto"/>
              <w:jc w:val="left"/>
            </w:pPr>
            <w:r>
              <w:rPr>
                <w:rFonts w:ascii="Noto Serif" w:hAnsi="Noto Serif"/>
                <w:sz w:val="15"/>
              </w:rPr>
              <w:t xml:space="preserve">Replacement rates for hydrogen stacks; decline in new converter installations; recycling feed composition</w:t>
            </w:r>
          </w:p>
        </w:tc>
        <w:tc>
          <w:tcPr/>
          <w:p>
            <w:pPr>
              <w:pStyle w:val="Compact"/>
              <w:spacing w:before="0" w:after="17" w:line="230" w:lineRule="auto"/>
              <w:jc w:val="left"/>
            </w:pPr>
            <w:r>
              <w:rPr>
                <w:rFonts w:ascii="Noto Serif" w:hAnsi="Noto Serif"/>
                <w:sz w:val="15"/>
              </w:rPr>
              <w:t xml:space="preserve">Reveals whether closed loops offset shrinking autocatalyst scrap</w:t>
            </w:r>
          </w:p>
        </w:tc>
      </w:tr>
      <w:tr>
        <w:tc>
          <w:tcPr/>
          <w:p>
            <w:pPr>
              <w:pStyle w:val="Compact"/>
              <w:spacing w:before="0" w:after="17" w:line="230" w:lineRule="auto"/>
              <w:jc w:val="left"/>
            </w:pPr>
            <w:r>
              <w:rPr>
                <w:rFonts w:ascii="Noto Serif" w:hAnsi="Noto Serif"/>
                <w:sz w:val="15"/>
              </w:rPr>
              <w:t xml:space="preserve">By 2045</w:t>
            </w:r>
          </w:p>
        </w:tc>
        <w:tc>
          <w:tcPr/>
          <w:p>
            <w:pPr>
              <w:pStyle w:val="Compact"/>
              <w:spacing w:before="0" w:after="17" w:line="230" w:lineRule="auto"/>
              <w:jc w:val="left"/>
            </w:pPr>
            <w:r>
              <w:rPr>
                <w:rFonts w:ascii="Noto Serif" w:hAnsi="Noto Serif"/>
                <w:sz w:val="15"/>
              </w:rPr>
              <w:t xml:space="preserve">New producing regions; mature-mine decline; industrial applications not visible in 2026</w:t>
            </w:r>
          </w:p>
        </w:tc>
        <w:tc>
          <w:tcPr/>
          <w:p>
            <w:pPr>
              <w:pStyle w:val="Compact"/>
              <w:spacing w:before="0" w:after="17" w:line="230" w:lineRule="auto"/>
              <w:jc w:val="left"/>
            </w:pPr>
            <w:r>
              <w:rPr>
                <w:rFonts w:ascii="Noto Serif" w:hAnsi="Noto Serif"/>
                <w:sz w:val="15"/>
              </w:rPr>
              <w:t xml:space="preserve">Determines whether primary supply can remain near five million ounces or must expand sharply</w:t>
            </w:r>
          </w:p>
        </w:tc>
      </w:tr>
      <w:tr>
        <w:tc>
          <w:tcPr/>
          <w:p>
            <w:pPr>
              <w:pStyle w:val="Compact"/>
              <w:spacing w:before="0" w:after="17" w:line="230" w:lineRule="auto"/>
              <w:jc w:val="left"/>
            </w:pPr>
            <w:r>
              <w:rPr>
                <w:rFonts w:ascii="Noto Serif" w:hAnsi="Noto Serif"/>
                <w:sz w:val="15"/>
              </w:rPr>
              <w:t xml:space="preserve">By 2051</w:t>
            </w:r>
          </w:p>
        </w:tc>
        <w:tc>
          <w:tcPr/>
          <w:p>
            <w:pPr>
              <w:pStyle w:val="Compact"/>
              <w:spacing w:before="0" w:after="17" w:line="230" w:lineRule="auto"/>
              <w:jc w:val="left"/>
            </w:pPr>
            <w:r>
              <w:rPr>
                <w:rFonts w:ascii="Noto Serif" w:hAnsi="Noto Serif"/>
                <w:sz w:val="15"/>
              </w:rPr>
              <w:t xml:space="preserve">Net in-use stock, secondary yield, product substitution, strategic inventories</w:t>
            </w:r>
          </w:p>
        </w:tc>
        <w:tc>
          <w:tcPr/>
          <w:p>
            <w:pPr>
              <w:pStyle w:val="Compact"/>
              <w:spacing w:before="0" w:after="17" w:line="230" w:lineRule="auto"/>
              <w:jc w:val="left"/>
            </w:pPr>
            <w:r>
              <w:rPr>
                <w:rFonts w:ascii="Noto Serif" w:hAnsi="Noto Serif"/>
                <w:sz w:val="15"/>
              </w:rPr>
              <w:t xml:space="preserve">Shows whether platinum has become a smaller circular specialty market or a larger energy-transition metal</w:t>
            </w:r>
          </w:p>
        </w:tc>
      </w:tr>
    </w:tbl>
    <w:bookmarkStart w:id="105" w:name="buyer-playbook"/>
    <w:p>
      <w:pPr>
        <w:pStyle w:val="Heading3"/>
      </w:pPr>
      <w:r>
        <w:t xml:space="preserve">Buyer playbook</w:t>
      </w:r>
    </w:p>
    <w:p>
      <w:pPr>
        <w:pStyle w:val="Compact"/>
        <w:numPr>
          <w:ilvl w:val="0"/>
          <w:numId w:val="1005"/>
        </w:numPr>
      </w:pPr>
      <w:r>
        <w:t xml:space="preserve">Define the product, purity, form, location, and delivery window before comparing prices.</w:t>
      </w:r>
    </w:p>
    <w:p>
      <w:pPr>
        <w:pStyle w:val="Compact"/>
        <w:numPr>
          <w:ilvl w:val="0"/>
          <w:numId w:val="1005"/>
        </w:numPr>
      </w:pPr>
      <w:r>
        <w:t xml:space="preserve">Map the chain back to mine or recycled source and forward to the qualified fabricator.</w:t>
      </w:r>
    </w:p>
    <w:p>
      <w:pPr>
        <w:pStyle w:val="Compact"/>
        <w:numPr>
          <w:ilvl w:val="0"/>
          <w:numId w:val="1005"/>
        </w:numPr>
      </w:pPr>
      <w:r>
        <w:t xml:space="preserve">Separate benchmark exposure from fabrication, lease, currency, and recovery exposure.</w:t>
      </w:r>
    </w:p>
    <w:p>
      <w:pPr>
        <w:pStyle w:val="Compact"/>
        <w:numPr>
          <w:ilvl w:val="0"/>
          <w:numId w:val="1005"/>
        </w:numPr>
      </w:pPr>
      <w:r>
        <w:t xml:space="preserve">Maintain at least one technically qualified substitute or emergency route where failure would stop production.</w:t>
      </w:r>
    </w:p>
    <w:p>
      <w:pPr>
        <w:pStyle w:val="Compact"/>
        <w:numPr>
          <w:ilvl w:val="0"/>
          <w:numId w:val="1005"/>
        </w:numPr>
      </w:pPr>
      <w:r>
        <w:t xml:space="preserve">State metal ownership, scrap return, assay, and loss allocation in every long-lived equipment contract.</w:t>
      </w:r>
    </w:p>
    <w:p>
      <w:pPr>
        <w:pStyle w:val="Compact"/>
        <w:numPr>
          <w:ilvl w:val="0"/>
          <w:numId w:val="1005"/>
        </w:numPr>
      </w:pPr>
      <w:r>
        <w:t xml:space="preserve">Use inventory where conversion lead time, not global ounces, is the true risk.</w:t>
      </w:r>
    </w:p>
    <w:p>
      <w:pPr>
        <w:pStyle w:val="Compact"/>
        <w:numPr>
          <w:ilvl w:val="0"/>
          <w:numId w:val="1005"/>
        </w:numPr>
      </w:pPr>
      <w:r>
        <w:t xml:space="preserve">Review sanctions, responsible sourcing, and benchmark-license provisions annually.</w:t>
      </w:r>
    </w:p>
    <w:p>
      <w:pPr>
        <w:pStyle w:val="Compact"/>
        <w:numPr>
          <w:ilvl w:val="0"/>
          <w:numId w:val="1005"/>
        </w:numPr>
      </w:pPr>
      <w:r>
        <w:t xml:space="preserve">Track vehicle technology, PEM deployment, catalyst loading, recycling, and mine projects rather than relying on a single deficit number.</w:t>
      </w:r>
    </w:p>
    <w:bookmarkEnd w:id="105"/>
    <w:bookmarkStart w:id="106" w:name="seller-playbook"/>
    <w:p>
      <w:pPr>
        <w:pStyle w:val="Heading3"/>
      </w:pPr>
      <w:r>
        <w:t xml:space="preserve">Seller playbook</w:t>
      </w:r>
    </w:p>
    <w:p>
      <w:pPr>
        <w:pStyle w:val="Compact"/>
        <w:numPr>
          <w:ilvl w:val="0"/>
          <w:numId w:val="1006"/>
        </w:numPr>
      </w:pPr>
      <w:r>
        <w:t xml:space="preserve">Establish identity and title before offering material.</w:t>
      </w:r>
    </w:p>
    <w:p>
      <w:pPr>
        <w:pStyle w:val="Compact"/>
        <w:numPr>
          <w:ilvl w:val="0"/>
          <w:numId w:val="1006"/>
        </w:numPr>
      </w:pPr>
      <w:r>
        <w:t xml:space="preserve">Use representative sampling and an agreed assay method.</w:t>
      </w:r>
    </w:p>
    <w:p>
      <w:pPr>
        <w:pStyle w:val="Compact"/>
        <w:numPr>
          <w:ilvl w:val="0"/>
          <w:numId w:val="1006"/>
        </w:numPr>
      </w:pPr>
      <w:r>
        <w:t xml:space="preserve">Compare net settlement after all charges and payment timing.</w:t>
      </w:r>
    </w:p>
    <w:p>
      <w:pPr>
        <w:pStyle w:val="Compact"/>
        <w:numPr>
          <w:ilvl w:val="0"/>
          <w:numId w:val="1006"/>
        </w:numPr>
      </w:pPr>
      <w:r>
        <w:t xml:space="preserve">Protect high-grade material from dilution and contamination.</w:t>
      </w:r>
    </w:p>
    <w:p>
      <w:pPr>
        <w:pStyle w:val="Compact"/>
        <w:numPr>
          <w:ilvl w:val="0"/>
          <w:numId w:val="1006"/>
        </w:numPr>
      </w:pPr>
      <w:r>
        <w:t xml:space="preserve">Preserve records that prove origin, chain of custody, and responsible handling.</w:t>
      </w:r>
    </w:p>
    <w:p>
      <w:pPr>
        <w:pStyle w:val="Compact"/>
        <w:numPr>
          <w:ilvl w:val="0"/>
          <w:numId w:val="1006"/>
        </w:numPr>
      </w:pPr>
      <w:r>
        <w:t xml:space="preserve">Hedge the price exposure actually created by the quotational period.</w:t>
      </w:r>
    </w:p>
    <w:p>
      <w:pPr>
        <w:pStyle w:val="Compact"/>
        <w:numPr>
          <w:ilvl w:val="0"/>
          <w:numId w:val="1006"/>
        </w:numPr>
      </w:pPr>
      <w:r>
        <w:t xml:space="preserve">Distinguish collectible or reusable objects from refinery feed.</w:t>
      </w:r>
    </w:p>
    <w:p>
      <w:pPr>
        <w:pStyle w:val="Compact"/>
        <w:numPr>
          <w:ilvl w:val="0"/>
          <w:numId w:val="1006"/>
        </w:numPr>
      </w:pPr>
      <w:r>
        <w:t xml:space="preserve">Invest in faster settlement, recovery, and technical service; these advantages survive price cycles.</w:t>
      </w:r>
    </w:p>
    <w:bookmarkEnd w:id="106"/>
    <w:bookmarkStart w:id="107" w:name="a-shared-rule"/>
    <w:p>
      <w:pPr>
        <w:pStyle w:val="Heading3"/>
      </w:pPr>
      <w:r>
        <w:t xml:space="preserve">A shared rule</w:t>
      </w:r>
    </w:p>
    <w:p>
      <w:pPr>
        <w:pStyle w:val="FirstParagraph"/>
      </w:pPr>
      <w:r>
        <w:t xml:space="preserve">The best platinum transaction is auditable. Both parties should be able to reconstruct the quantity, assay, benchmark, payability, deductions, delivery, title transfer, and final payment. Complexity is unavoidable; opacity is not.</w:t>
      </w:r>
    </w:p>
    <w:bookmarkEnd w:id="107"/>
    <w:bookmarkEnd w:id="108"/>
    <w:bookmarkStart w:id="109" w:name="conclusion"/>
    <w:p>
      <w:pPr>
        <w:pStyle w:val="Heading2"/>
      </w:pPr>
      <w:r>
        <w:t xml:space="preserve">Conclusion</w:t>
      </w:r>
    </w:p>
    <w:p>
      <w:pPr>
        <w:pStyle w:val="FirstParagraph"/>
      </w:pPr>
      <w:r>
        <w:t xml:space="preserve">Platinum’s 2051 market will probably be neither the autocatalyst market of the 2000s nor the pure hydrogen market promised in promotional forecasts. It is more likely to be a hybrid system in the broader sense: part mine supply, part urban mine; part industrial catalyst, part precious metal; part London benchmark, part regional exchange; part open-market sale, part closed-loop metal account.</w:t>
      </w:r>
    </w:p>
    <w:p>
      <w:pPr>
        <w:pStyle w:val="BodyText"/>
      </w:pPr>
      <w:r>
        <w:t xml:space="preserve">The central scenario holds total demand near today’s level, but that stability should not be mistaken for continuity. Conventional automotive demand contracts. Hydrogen and specialty uses grow. Recycling rises. Mine supply remains concentrated. Product form, fabrication capacity, and custody become more important. The market can therefore feel tighter even without a large increase in total ounces.</w:t>
      </w:r>
    </w:p>
    <w:p>
      <w:pPr>
        <w:pStyle w:val="BodyText"/>
      </w:pPr>
      <w:r>
        <w:t xml:space="preserve">The range remains wide because technology can change both sides. Battery vehicles remove catalysts. PEM systems create demand while engineers reduce loading. High prices finance mines and pull scrap while accelerating substitution. New projects diversify supply but take years. Investment can absorb or release enough metal to overwhelm a modest annual balance.</w:t>
      </w:r>
    </w:p>
    <w:p>
      <w:pPr>
        <w:pStyle w:val="BodyText"/>
      </w:pPr>
      <w:r>
        <w:t xml:space="preserve">For buyers, the durable advantage is resilient procurement: qualified alternatives, controlled metal accounts, recovery rights, sensible hedges, and traceable supply. For sellers, it is credible value: clean title, defensible assay, high recovery, fast settlement, and the ability to deliver the exact form the customer needs. Those capabilities matter in every scenario, which is why they are more useful than any single 2051 price target.</w:t>
      </w:r>
    </w:p>
    <w:bookmarkEnd w:id="109"/>
    <w:bookmarkStart w:id="122" w:name="frequently-asked-questions"/>
    <w:p>
      <w:pPr>
        <w:pStyle w:val="Heading2"/>
      </w:pPr>
      <w:r>
        <w:t xml:space="preserve">Frequently asked questions</w:t>
      </w:r>
    </w:p>
    <w:bookmarkStart w:id="110" w:name="Xdfa083d06f29aa4233683e368672b8e5ef37f22"/>
    <w:p>
      <w:pPr>
        <w:pStyle w:val="Heading3"/>
      </w:pPr>
      <w:r>
        <w:t xml:space="preserve">What is the AllMetalPrices platinum-demand forecast for 2051?</w:t>
      </w:r>
    </w:p>
    <w:p>
      <w:pPr>
        <w:pStyle w:val="FirstParagraph"/>
      </w:pPr>
      <w:r>
        <w:t xml:space="preserve">The middle scenario reaches about</w:t>
      </w:r>
      <w:r>
        <w:t xml:space="preserve"> </w:t>
      </w:r>
      <w:r>
        <w:rPr>
          <w:b/>
          <w:bCs/>
        </w:rPr>
        <w:t xml:space="preserve">7.7 million troy ounces of annual demand in 2051</w:t>
      </w:r>
      <w:r>
        <w:t xml:space="preserve">, close to the report’s 2026 baseline of 7.674 million ounces. The full scenario range is</w:t>
      </w:r>
      <w:r>
        <w:t xml:space="preserve"> </w:t>
      </w:r>
      <w:r>
        <w:rPr>
          <w:b/>
          <w:bCs/>
        </w:rPr>
        <w:t xml:space="preserve">5.6 million to 10.5 million ounces</w:t>
      </w:r>
      <w:r>
        <w:t xml:space="preserve">. These figures are AllMetalPrices calculations, not official forecasts from an exchange, government, or industry association. The low case assumes rapid battery-electric adoption, sustained catalyst thrift, slow hydrogen deployment, and strong substitution. The high case assumes a larger hybrid and heavy-duty combustion fleet, stronger hydrogen deployment, resilient industrial use, and constrained mine response.</w:t>
      </w:r>
    </w:p>
    <w:p>
      <w:pPr>
        <w:pStyle w:val="BodyText"/>
      </w:pPr>
      <w:r>
        <w:t xml:space="preserve">The similarity between the 2026 baseline and the middle 2051 number should not be read as an unchanged market. Autocatalyst demand falls, hydrogen and specialized industrial uses rise, recycling supplies a larger share, and more metal is managed through closed loops. A market can remain similar in total ounces while becoming very different in product form, geography, financing, and risk.</w:t>
      </w:r>
    </w:p>
    <w:bookmarkEnd w:id="110"/>
    <w:bookmarkStart w:id="111" w:name="X6ad5ac26a8a503de8bea69bf0ec553466354185"/>
    <w:p>
      <w:pPr>
        <w:pStyle w:val="Heading3"/>
      </w:pPr>
      <w:r>
        <w:t xml:space="preserve">Will electric vehicles destroy platinum demand?</w:t>
      </w:r>
    </w:p>
    <w:p>
      <w:pPr>
        <w:pStyle w:val="FirstParagraph"/>
      </w:pPr>
      <w:r>
        <w:t xml:space="preserve">Battery-electric vehicles reduce platinum demand because they have no exhaust system and need no autocatalyst. That is the largest structural downside in the outlook. It is not the same as eliminating the platinum market. Hybrids and range-extenders still use engines and catalysts. Heavy-duty trucks, buses, non-road machinery, marine engines, generators, and regions with slower charging build-out may retain combustion for longer. Platinum is also used in chemical, petroleum, glass, medical, electrical, jewelry, investment, hydrogen, and other applications.</w:t>
      </w:r>
    </w:p>
    <w:p>
      <w:pPr>
        <w:pStyle w:val="BodyText"/>
      </w:pPr>
      <w:r>
        <w:t xml:space="preserve">The timing matters. New autocatalyst fabrication can decline before old converters stop reaching recyclers. During part of the 2030s, the market may face lower new automotive demand and elevated secondary supply at the same time. Later, recycling from converters can decline because fewer catalyst-equipped vehicles were sold. EV adoption therefore changes both demand and the future scrap reservoir.</w:t>
      </w:r>
    </w:p>
    <w:bookmarkEnd w:id="111"/>
    <w:bookmarkStart w:id="112" w:name="X7a117af6ae0401a4278d3316f60779b809a9f6a"/>
    <w:p>
      <w:pPr>
        <w:pStyle w:val="Heading3"/>
      </w:pPr>
      <w:r>
        <w:t xml:space="preserve">Can hydrogen replace lost autocatalyst demand?</w:t>
      </w:r>
    </w:p>
    <w:p>
      <w:pPr>
        <w:pStyle w:val="FirstParagraph"/>
      </w:pPr>
      <w:r>
        <w:t xml:space="preserve">It can replace part of it in the stronger scenarios, but replacement is not guaranteed. PEM electrolysers use platinum at the cathode, and PEM fuel cells use platinum catalysts. The size of future demand depends on installed gigawatts, technology share, metal loading, manufacturing yield, service life, replacement, and recovery. Announced hydrogen projects are not equivalent to committed projects, and the IEA’s 2026 review shows a large gap between the headline project pipeline and projects that are committed or have strong potential (IEA 2026b).</w:t>
      </w:r>
    </w:p>
    <w:p>
      <w:pPr>
        <w:pStyle w:val="BodyText"/>
      </w:pPr>
      <w:r>
        <w:t xml:space="preserve">Thrift is central. DOE targets show a steep reduction in PGM content per kilowatt for PEM electrolysis and continued pressure to reduce fuel-cell loading (DOE 2026a, 2026b). Lower loading reduces platinum per unit but can make deployment cheaper. Hydrogen becomes a major platinum market only when deployment growth outruns thrift and when PEM retains a meaningful share against alkaline, anion-exchange, solid-oxide, battery, and direct-electrification alternatives.</w:t>
      </w:r>
    </w:p>
    <w:bookmarkEnd w:id="112"/>
    <w:bookmarkStart w:id="113" w:name="X0959cac2c9cb7e189d0b6753e74638333dd866a"/>
    <w:p>
      <w:pPr>
        <w:pStyle w:val="Heading3"/>
      </w:pPr>
      <w:r>
        <w:t xml:space="preserve">Is there enough platinum for a large hydrogen economy?</w:t>
      </w:r>
    </w:p>
    <w:p>
      <w:pPr>
        <w:pStyle w:val="FirstParagraph"/>
      </w:pPr>
      <w:r>
        <w:t xml:space="preserve">Geologically, the question is not a simple yes or no. Identified PGM resources are substantial, but production is concentrated, mines are capital intensive, project lead times are long, and platinum is usually produced with palladium, rhodium, nickel, copper, and gold. The platinum price alone may not create the required mine response. Processing, power, water, social license, permitting, refining, and financing can constrain supply even when ore exists (Mudd, Jowitt, and Werner 2018; Hughes et al. 2021).</w:t>
      </w:r>
    </w:p>
    <w:p>
      <w:pPr>
        <w:pStyle w:val="BodyText"/>
      </w:pPr>
      <w:r>
        <w:t xml:space="preserve">A large hydrogen economy would also develop closed-loop recovery. Platinum in stacks and catalysts is valuable, relatively concentrated, and often installed in equipment with identifiable owners. Leasing, consignment, and metal-account structures can keep title visible and return recovered ounces. The primary-supply requirement is therefore smaller than gross lifetime use, but it remains material during rapid system growth because the first generation of equipment cannot be made entirely from scrap that has not yet returned.</w:t>
      </w:r>
    </w:p>
    <w:bookmarkEnd w:id="113"/>
    <w:bookmarkStart w:id="114" w:name="X6deb8e86c7a038be008637e75ed7d0f5c440193"/>
    <w:p>
      <w:pPr>
        <w:pStyle w:val="Heading3"/>
      </w:pPr>
      <w:r>
        <w:t xml:space="preserve">Can recycling supply most platinum demand by 2051?</w:t>
      </w:r>
    </w:p>
    <w:p>
      <w:pPr>
        <w:pStyle w:val="FirstParagraph"/>
      </w:pPr>
      <w:r>
        <w:t xml:space="preserve">Recycling becomes more important in all three scenarios, but this report does not project it above half of annual demand. The modeled 2051 secondary share ranges from about</w:t>
      </w:r>
      <w:r>
        <w:t xml:space="preserve"> </w:t>
      </w:r>
      <w:r>
        <w:rPr>
          <w:b/>
          <w:bCs/>
        </w:rPr>
        <w:t xml:space="preserve">32 percent to 36 percent</w:t>
      </w:r>
      <w:r>
        <w:t xml:space="preserve">. That is not a technical ceiling. It reflects the expected mix of long-lived assets, collection losses, product dispersion, processing capacity, and a shrinking future flow of autocatalysts in the battery-dominance case.</w:t>
      </w:r>
    </w:p>
    <w:p>
      <w:pPr>
        <w:pStyle w:val="BodyText"/>
      </w:pPr>
      <w:r>
        <w:t xml:space="preserve">Recovery rates inside a modern refinery can be high, yet the system-level recycling rate is lower because products are not collected, are exported through informal channels, are diluted into unsuitable streams, remain in use, or are uneconomic to process. Material-flow research repeatedly shows that collection and preprocessing can lose value before a sophisticated refinery ever receives the feed (Saurat and Bringezu 2008; Arnold et al. 2021; Grilli et al. 2023). Better vehicle traceability, industrial metal accounts, and equipment designed for disassembly can raise the secondary share.</w:t>
      </w:r>
    </w:p>
    <w:bookmarkEnd w:id="114"/>
    <w:bookmarkStart w:id="115" w:name="X23c520e93b9ec811e28e1714f0ef532cf089f22"/>
    <w:p>
      <w:pPr>
        <w:pStyle w:val="Heading3"/>
      </w:pPr>
      <w:r>
        <w:t xml:space="preserve">Why does South Africa matter so much to the platinum outlook?</w:t>
      </w:r>
    </w:p>
    <w:p>
      <w:pPr>
        <w:pStyle w:val="FirstParagraph"/>
      </w:pPr>
      <w:r>
        <w:t xml:space="preserve">WPIC’s 2026 forecast assigns about 4.005 million ounces of mine supply to South Africa out of a global total of 5.551 million ounces, roughly 72 percent (WPIC 2026a). Much of that supply comes from the Bushveld Complex. The concentration creates a common exposure to electricity, water, labor, deep-level mining conditions, processing infrastructure, currency, policy, and regional logistics.</w:t>
      </w:r>
    </w:p>
    <w:p>
      <w:pPr>
        <w:pStyle w:val="BodyText"/>
      </w:pPr>
      <w:r>
        <w:t xml:space="preserve">This does not mean every South African producer behaves alike. Ore bodies, metal baskets, mine depth, mechanization, cost structure, smelting, refining, and capital plans differ. Nor does concentration mean disruption is inevitable. It means that a geographically small set of operating decisions can influence the global balance. Zimbabwean projects, Platreef in South Africa, North American production, Russian supply, recycling, and inventories can diversify the system, but none is likely to remove southern Africa’s importance during the forecast period.</w:t>
      </w:r>
    </w:p>
    <w:bookmarkEnd w:id="115"/>
    <w:bookmarkStart w:id="116" w:name="X3fa7af7302fe30849e5042d83b19fc347cfb4d5"/>
    <w:p>
      <w:pPr>
        <w:pStyle w:val="Heading3"/>
      </w:pPr>
      <w:r>
        <w:t xml:space="preserve">What could cause a sustained platinum shortage?</w:t>
      </w:r>
    </w:p>
    <w:p>
      <w:pPr>
        <w:pStyle w:val="FirstParagraph"/>
      </w:pPr>
      <w:r>
        <w:t xml:space="preserve">A durable shortage would require several forces to overlap: declining mature-mine output, delayed new projects, weak recycling response, resilient hybrid or heavy-duty catalyst demand, rapid PEM deployment, low inventories, and investment buying that keeps metal out of industrial circulation. Refinery or logistics constraints can create a shortage of usable form even when total global ounces appear adequate.</w:t>
      </w:r>
    </w:p>
    <w:p>
      <w:pPr>
        <w:pStyle w:val="BodyText"/>
      </w:pPr>
      <w:r>
        <w:t xml:space="preserve">The warning signs are persistent lease-rate stress, strong nearby prices relative to later delivery, low available stocks, repeated project delays, poor autocatalyst collection, rising fabrication lead times, and buyers paying exceptional premiums for sponge, powder, gauze, or qualified catalyst. A reported annual deficit is relevant, but it is not sufficient by itself. The location, ownership, and availability of stocks determine whether a statistical deficit becomes a commercial shortage.</w:t>
      </w:r>
    </w:p>
    <w:bookmarkEnd w:id="116"/>
    <w:bookmarkStart w:id="117" w:name="X9717790083607d7b842609e21f3bb52df165a18"/>
    <w:p>
      <w:pPr>
        <w:pStyle w:val="Heading3"/>
      </w:pPr>
      <w:r>
        <w:t xml:space="preserve">What could cause platinum prices to fall for years?</w:t>
      </w:r>
    </w:p>
    <w:p>
      <w:pPr>
        <w:pStyle w:val="FirstParagraph"/>
      </w:pPr>
      <w:r>
        <w:t xml:space="preserve">A prolonged decline could follow faster battery-electric adoption, weak vehicle production, lower catalyst loadings, reversal of platinum-for-palladium substitution, delayed hydrogen projects, strong recycling, mine supply held up by favorable co-product prices, and investment liquidation. A recession can hit automotive, industrial, jewelry, and investment demand at the same time. A stronger U.S. dollar or higher real interest rates can also pressure non-yielding precious metals.</w:t>
      </w:r>
    </w:p>
    <w:p>
      <w:pPr>
        <w:pStyle w:val="BodyText"/>
      </w:pPr>
      <w:r>
        <w:t xml:space="preserve">High prices create their own corrective forces. They pull hoarded converters and jewelry into the market, improve recycling economics, support mine investment, encourage thrift, and make substitutes more attractive. The low scenario therefore includes a real 2051 planning band of $800-$1,500 per ounce even though the 2026 market began from a much higher nominal level. The band is not a prediction of a smooth decline; severe rallies and collapses can occur inside a lower long-run regime.</w:t>
      </w:r>
    </w:p>
    <w:bookmarkEnd w:id="117"/>
    <w:bookmarkStart w:id="118" w:name="Xbdc664291bb7b71908e96757143dd6bb5f7fc97"/>
    <w:p>
      <w:pPr>
        <w:pStyle w:val="Heading3"/>
      </w:pPr>
      <w:r>
        <w:t xml:space="preserve">What is the platinum price forecast for 2051?</w:t>
      </w:r>
    </w:p>
    <w:p>
      <w:pPr>
        <w:pStyle w:val="FirstParagraph"/>
      </w:pPr>
      <w:r>
        <w:t xml:space="preserve">This report rejects one exact price. Its sustained 2051 planning bands, in</w:t>
      </w:r>
      <w:r>
        <w:t xml:space="preserve"> </w:t>
      </w:r>
      <w:r>
        <w:rPr>
          <w:b/>
          <w:bCs/>
        </w:rPr>
        <w:t xml:space="preserve">constant 2026 U.S. dollars per troy ounce</w:t>
      </w:r>
      <w:r>
        <w:t xml:space="preserve">, are:</w:t>
      </w:r>
    </w:p>
    <w:p>
      <w:pPr>
        <w:pStyle w:val="Compact"/>
        <w:numPr>
          <w:ilvl w:val="0"/>
          <w:numId w:val="1007"/>
        </w:numPr>
      </w:pPr>
      <w:r>
        <w:rPr>
          <w:b/>
          <w:bCs/>
        </w:rPr>
        <w:t xml:space="preserve">Battery dominance and metal thrift:</w:t>
      </w:r>
      <w:r>
        <w:t xml:space="preserve"> </w:t>
      </w:r>
      <w:r>
        <w:t xml:space="preserve">$800-$1,500;</w:t>
      </w:r>
    </w:p>
    <w:p>
      <w:pPr>
        <w:pStyle w:val="Compact"/>
        <w:numPr>
          <w:ilvl w:val="0"/>
          <w:numId w:val="1007"/>
        </w:numPr>
      </w:pPr>
      <w:r>
        <w:rPr>
          <w:b/>
          <w:bCs/>
        </w:rPr>
        <w:t xml:space="preserve">Managed transition and diversified demand:</w:t>
      </w:r>
      <w:r>
        <w:t xml:space="preserve"> </w:t>
      </w:r>
      <w:r>
        <w:t xml:space="preserve">$1,300-$2,700;</w:t>
      </w:r>
    </w:p>
    <w:p>
      <w:pPr>
        <w:pStyle w:val="Compact"/>
        <w:numPr>
          <w:ilvl w:val="0"/>
          <w:numId w:val="1007"/>
        </w:numPr>
      </w:pPr>
      <w:r>
        <w:rPr>
          <w:b/>
          <w:bCs/>
        </w:rPr>
        <w:t xml:space="preserve">Hydrogen, hybrids, and constrained supply:</w:t>
      </w:r>
      <w:r>
        <w:t xml:space="preserve"> </w:t>
      </w:r>
      <w:r>
        <w:t xml:space="preserve">$2,300-$4,800.</w:t>
      </w:r>
    </w:p>
    <w:p>
      <w:pPr>
        <w:pStyle w:val="FirstParagraph"/>
      </w:pPr>
      <w:r>
        <w:t xml:space="preserve">These are scenario bands for analysis, not annual-average targets or trading recommendations. Actual prices can trade outside them during crises, investment surges, mine disruptions, or recessions. Under a purely illustrative 2.5 percent annual inflation assumption, the 2051 nominal-dollar figures would be about 1.85 times the real figures. Any long-range forecast that does not state its currency year is incomplete.</w:t>
      </w:r>
    </w:p>
    <w:bookmarkEnd w:id="118"/>
    <w:bookmarkStart w:id="119" w:name="Xbafd7755677b0b7f16d4aa1beb388cddba3ae37"/>
    <w:p>
      <w:pPr>
        <w:pStyle w:val="Heading3"/>
      </w:pPr>
      <w:r>
        <w:t xml:space="preserve">How will platinum be bought by industrial users in 2051?</w:t>
      </w:r>
    </w:p>
    <w:p>
      <w:pPr>
        <w:pStyle w:val="FirstParagraph"/>
      </w:pPr>
      <w:r>
        <w:t xml:space="preserve">More industrial users are likely to buy a service and metal-management package rather than an isolated ounce. Contracts can combine benchmark pricing, fabrication, lease or financing, quality, delivery, operating losses, scrap ownership, collection, assay, refining, and metal return. A user may own the metal while a fabricator converts it, or lease metal for a campaign and settle losses when equipment is retired.</w:t>
      </w:r>
    </w:p>
    <w:p>
      <w:pPr>
        <w:pStyle w:val="BodyText"/>
      </w:pPr>
      <w:r>
        <w:t xml:space="preserve">The critical specification is often not</w:t>
      </w:r>
      <w:r>
        <w:t xml:space="preserve"> </w:t>
      </w:r>
      <w:r>
        <w:t xml:space="preserve">“</w:t>
      </w:r>
      <w:r>
        <w:t xml:space="preserve">platinum</w:t>
      </w:r>
      <w:r>
        <w:t xml:space="preserve">”</w:t>
      </w:r>
      <w:r>
        <w:t xml:space="preserve"> </w:t>
      </w:r>
      <w:r>
        <w:t xml:space="preserve">but a qualified form: sponge of defined surface area, powder of defined particle distribution, gauze of a validated alloy, a catalyst coated to a particular loading, or a finished component. Procurement should therefore measure supply concentration at the mine, refinery, fabricator, and qualification levels. Three distributors do not provide true diversification if all depend on one producer or one approved conversion line.</w:t>
      </w:r>
    </w:p>
    <w:bookmarkEnd w:id="119"/>
    <w:bookmarkStart w:id="120" w:name="how-is-a-platinum-scrap-seller-paid"/>
    <w:p>
      <w:pPr>
        <w:pStyle w:val="Heading3"/>
      </w:pPr>
      <w:r>
        <w:t xml:space="preserve">How is a platinum-scrap seller paid?</w:t>
      </w:r>
    </w:p>
    <w:p>
      <w:pPr>
        <w:pStyle w:val="FirstParagraph"/>
      </w:pPr>
      <w:r>
        <w:t xml:space="preserve">A simplified settlement is:</w:t>
      </w:r>
    </w:p>
    <w:p>
      <w:pPr>
        <w:pStyle w:val="BodyText"/>
      </w:pPr>
      <w:r>
        <w:rPr>
          <w:b/>
          <w:bCs/>
        </w:rPr>
        <w:t xml:space="preserve">Net payment = contained payable platinum × agreed reference price − treatment − refining − sampling − financing − logistics − other agreed deductions.</w:t>
      </w:r>
    </w:p>
    <w:p>
      <w:pPr>
        <w:pStyle w:val="BodyText"/>
      </w:pPr>
      <w:r>
        <w:t xml:space="preserve">Contained metal is determined from verified weight and representative assay. Payability may be below 100 percent to account for process loss, commercial margin, or the terms of a particular feed. Autocatalyst lots also contain palladium and rhodium, so the settlement usually values a PGM basket rather than platinum alone. Industrial scrap may be settled through a metal account, with refined ounces returned rather than cash paid.</w:t>
      </w:r>
    </w:p>
    <w:p>
      <w:pPr>
        <w:pStyle w:val="BodyText"/>
      </w:pPr>
      <w:r>
        <w:t xml:space="preserve">The seller should compare net outcomes, not headline percentages. Sampling method, moisture, decanning, provisional assay, umpire rights, quotational period, minimum charges, payment timing, and title transfer can be worth more than a small difference in the displayed price. Unidentified jewelry and retail objects should also be screened for reuse, brand, or collector value before they are sold as melt.</w:t>
      </w:r>
    </w:p>
    <w:bookmarkEnd w:id="120"/>
    <w:bookmarkStart w:id="121" w:name="X271bd643adb68bb9a685832831cec4d87cbac55"/>
    <w:p>
      <w:pPr>
        <w:pStyle w:val="Heading3"/>
      </w:pPr>
      <w:r>
        <w:t xml:space="preserve">Is physical platinum a good long-term investment?</w:t>
      </w:r>
    </w:p>
    <w:p>
      <w:pPr>
        <w:pStyle w:val="FirstParagraph"/>
      </w:pPr>
      <w:r>
        <w:t xml:space="preserve">Physical platinum is one way to obtain exposure, not a universal answer. A bar or coin has dealer spreads, product premiums, storage, insurance, verification, tax, and resale considerations. A physically backed exchange-traded product has custody arrangements, fund fees, market liquidity, and possible differences between share price and net asset value. Futures introduce leverage, margin calls, contract expiry, delivery rules, and basis risk. Mining shares add management, jurisdiction, cost, reserve, and co-product exposure.</w:t>
      </w:r>
    </w:p>
    <w:p>
      <w:pPr>
        <w:pStyle w:val="BodyText"/>
      </w:pPr>
      <w:r>
        <w:t xml:space="preserve">The market’s small size can create strong upside and sharp drawdowns. An investor should understand what is owned, how it is priced, where it is held, who the counterparty is, and how it can be sold. This report is market research, not individualized investment, legal, or tax advice. The suitability of any instrument depends on the investor’s objectives, jurisdiction, finances, and professional advice.</w:t>
      </w:r>
    </w:p>
    <w:bookmarkEnd w:id="121"/>
    <w:bookmarkEnd w:id="122"/>
    <w:bookmarkStart w:id="123" w:name="glossary-of-platinum-market-terms"/>
    <w:p>
      <w:pPr>
        <w:pStyle w:val="Heading2"/>
      </w:pPr>
      <w:r>
        <w:t xml:space="preserve">Glossary of platinum-market terms</w:t>
      </w:r>
    </w:p>
    <w:p>
      <w:pPr>
        <w:pStyle w:val="FirstParagraph"/>
      </w:pPr>
      <w:r>
        <w:rPr>
          <w:b/>
          <w:bCs/>
        </w:rPr>
        <w:t xml:space="preserve">Above-ground stocks.</w:t>
      </w:r>
      <w:r>
        <w:t xml:space="preserve"> </w:t>
      </w:r>
      <w:r>
        <w:t xml:space="preserve">Refined platinum considered available outside current-year mine and recycling supply. Estimates depend on what is counted and whether metal is genuinely mobilizable.</w:t>
      </w:r>
    </w:p>
    <w:p>
      <w:pPr>
        <w:pStyle w:val="BodyText"/>
      </w:pPr>
      <w:r>
        <w:rPr>
          <w:b/>
          <w:bCs/>
        </w:rPr>
        <w:t xml:space="preserve">Allocated metal.</w:t>
      </w:r>
      <w:r>
        <w:t xml:space="preserve"> </w:t>
      </w:r>
      <w:r>
        <w:t xml:space="preserve">Specific bars, plates, or ingots identified to an owner, normally by refiner, serial number, weight, and assay. The owner has title to particular physical units rather than a general claim.</w:t>
      </w:r>
    </w:p>
    <w:p>
      <w:pPr>
        <w:pStyle w:val="BodyText"/>
      </w:pPr>
      <w:r>
        <w:rPr>
          <w:b/>
          <w:bCs/>
        </w:rPr>
        <w:t xml:space="preserve">Assay.</w:t>
      </w:r>
      <w:r>
        <w:t xml:space="preserve"> </w:t>
      </w:r>
      <w:r>
        <w:t xml:space="preserve">A determination of metal content. Reliable settlement requires representative sampling, documented preparation, an agreed analytical method, and dispute provisions.</w:t>
      </w:r>
    </w:p>
    <w:p>
      <w:pPr>
        <w:pStyle w:val="BodyText"/>
      </w:pPr>
      <w:r>
        <w:rPr>
          <w:b/>
          <w:bCs/>
        </w:rPr>
        <w:t xml:space="preserve">Autocatalyst.</w:t>
      </w:r>
      <w:r>
        <w:t xml:space="preserve"> </w:t>
      </w:r>
      <w:r>
        <w:t xml:space="preserve">A catalytic-converter component that uses platinum-group metals to reduce harmful exhaust pollutants. Its PGM loading varies by vehicle, engine, fuel, regulation, age, and catalyst design.</w:t>
      </w:r>
    </w:p>
    <w:p>
      <w:pPr>
        <w:pStyle w:val="BodyText"/>
      </w:pPr>
      <w:r>
        <w:rPr>
          <w:b/>
          <w:bCs/>
        </w:rPr>
        <w:t xml:space="preserve">Backwardation.</w:t>
      </w:r>
      <w:r>
        <w:t xml:space="preserve"> </w:t>
      </w:r>
      <w:r>
        <w:t xml:space="preserve">A market structure in which nearby metal is priced above later delivery. It can indicate immediate tightness, financing effects, or specific delivery constraints.</w:t>
      </w:r>
    </w:p>
    <w:p>
      <w:pPr>
        <w:pStyle w:val="BodyText"/>
      </w:pPr>
      <w:r>
        <w:rPr>
          <w:b/>
          <w:bCs/>
        </w:rPr>
        <w:t xml:space="preserve">Basket price.</w:t>
      </w:r>
      <w:r>
        <w:t xml:space="preserve"> </w:t>
      </w:r>
      <w:r>
        <w:t xml:space="preserve">The combined realized value of platinum and co-produced metals such as palladium, rhodium, gold, nickel, copper, or chrome, usually weighted by production or sales quantities.</w:t>
      </w:r>
    </w:p>
    <w:p>
      <w:pPr>
        <w:pStyle w:val="BodyText"/>
      </w:pPr>
      <w:r>
        <w:rPr>
          <w:b/>
          <w:bCs/>
        </w:rPr>
        <w:t xml:space="preserve">Benchmark.</w:t>
      </w:r>
      <w:r>
        <w:t xml:space="preserve"> </w:t>
      </w:r>
      <w:r>
        <w:t xml:space="preserve">A standardized reference price used in contracts and valuation. Since July 1, 2026, ICE Benchmark Administration has administered the twice-daily LBMA Platinum Price auctions for unallocated loco London metal (ICE 2026; LPPM 2026a).</w:t>
      </w:r>
    </w:p>
    <w:p>
      <w:pPr>
        <w:pStyle w:val="BodyText"/>
      </w:pPr>
      <w:r>
        <w:rPr>
          <w:b/>
          <w:bCs/>
        </w:rPr>
        <w:t xml:space="preserve">Closed loop.</w:t>
      </w:r>
      <w:r>
        <w:t xml:space="preserve"> </w:t>
      </w:r>
      <w:r>
        <w:t xml:space="preserve">A commercial system in which a user or supplier retains ownership or recovery rights and returns spent material to make new product, reducing dependence on open-market primary metal.</w:t>
      </w:r>
    </w:p>
    <w:p>
      <w:pPr>
        <w:pStyle w:val="BodyText"/>
      </w:pPr>
      <w:r>
        <w:rPr>
          <w:b/>
          <w:bCs/>
        </w:rPr>
        <w:t xml:space="preserve">Concentrate.</w:t>
      </w:r>
      <w:r>
        <w:t xml:space="preserve"> </w:t>
      </w:r>
      <w:r>
        <w:t xml:space="preserve">A mineral product enriched in PGMs and associated metals after ore processing. It is not pure platinum and is typically valued under a basket-based smelting and refining contract.</w:t>
      </w:r>
    </w:p>
    <w:p>
      <w:pPr>
        <w:pStyle w:val="BodyText"/>
      </w:pPr>
      <w:r>
        <w:rPr>
          <w:b/>
          <w:bCs/>
        </w:rPr>
        <w:t xml:space="preserve">Contango.</w:t>
      </w:r>
      <w:r>
        <w:t xml:space="preserve"> </w:t>
      </w:r>
      <w:r>
        <w:t xml:space="preserve">A market structure in which later delivery is priced above nearby metal, often reflecting financing, storage, and available supply.</w:t>
      </w:r>
    </w:p>
    <w:p>
      <w:pPr>
        <w:pStyle w:val="BodyText"/>
      </w:pPr>
      <w:r>
        <w:rPr>
          <w:b/>
          <w:bCs/>
        </w:rPr>
        <w:t xml:space="preserve">Co-product economics.</w:t>
      </w:r>
      <w:r>
        <w:t xml:space="preserve"> </w:t>
      </w:r>
      <w:r>
        <w:t xml:space="preserve">The reality that many PGM mines earn revenue from several metals. Output decisions may respond to the value of the basket rather than to platinum alone.</w:t>
      </w:r>
    </w:p>
    <w:p>
      <w:pPr>
        <w:pStyle w:val="BodyText"/>
      </w:pPr>
      <w:r>
        <w:rPr>
          <w:b/>
          <w:bCs/>
        </w:rPr>
        <w:t xml:space="preserve">Exchange warrant.</w:t>
      </w:r>
      <w:r>
        <w:t xml:space="preserve"> </w:t>
      </w:r>
      <w:r>
        <w:t xml:space="preserve">An electronic or documentary representation of metal meeting an exchange’s eligibility, brand, location, and custody requirements. A warrant is not equivalent to any platinum object of the same gross weight.</w:t>
      </w:r>
    </w:p>
    <w:p>
      <w:pPr>
        <w:pStyle w:val="BodyText"/>
      </w:pPr>
      <w:r>
        <w:rPr>
          <w:b/>
          <w:bCs/>
        </w:rPr>
        <w:t xml:space="preserve">Fabrication charge.</w:t>
      </w:r>
      <w:r>
        <w:t xml:space="preserve"> </w:t>
      </w:r>
      <w:r>
        <w:t xml:space="preserve">The amount charged to convert refined metal into sponge, powder, alloy, gauze, catalyst, wire, sheet, equipment, or another specified product. It is distinct from the metal benchmark.</w:t>
      </w:r>
    </w:p>
    <w:p>
      <w:pPr>
        <w:pStyle w:val="BodyText"/>
      </w:pPr>
      <w:r>
        <w:rPr>
          <w:b/>
          <w:bCs/>
        </w:rPr>
        <w:t xml:space="preserve">Fine weight.</w:t>
      </w:r>
      <w:r>
        <w:t xml:space="preserve"> </w:t>
      </w:r>
      <w:r>
        <w:t xml:space="preserve">The weight of pure platinum contained in an alloyed or impure object. Gross weight multiplied by verified fineness produces theoretical fine content before commercial deductions.</w:t>
      </w:r>
    </w:p>
    <w:p>
      <w:pPr>
        <w:pStyle w:val="BodyText"/>
      </w:pPr>
      <w:r>
        <w:rPr>
          <w:b/>
          <w:bCs/>
        </w:rPr>
        <w:t xml:space="preserve">Good Delivery.</w:t>
      </w:r>
      <w:r>
        <w:t xml:space="preserve"> </w:t>
      </w:r>
      <w:r>
        <w:t xml:space="preserve">The LPPM system of approved refiners and specifications for acceptable platinum plate or ingot in the London market. Good Delivery status involves technical and responsible-sourcing requirements (LPPM 2026c, 2026d).</w:t>
      </w:r>
    </w:p>
    <w:p>
      <w:pPr>
        <w:pStyle w:val="BodyText"/>
      </w:pPr>
      <w:r>
        <w:rPr>
          <w:b/>
          <w:bCs/>
        </w:rPr>
        <w:t xml:space="preserve">Gross demand.</w:t>
      </w:r>
      <w:r>
        <w:t xml:space="preserve"> </w:t>
      </w:r>
      <w:r>
        <w:t xml:space="preserve">The total platinum entering products or investment holdings before recovered material is netted against it. Gross use can rise even when primary demand grows slowly because metal circulates through closed loops.</w:t>
      </w:r>
    </w:p>
    <w:p>
      <w:pPr>
        <w:pStyle w:val="BodyText"/>
      </w:pPr>
      <w:r>
        <w:rPr>
          <w:b/>
          <w:bCs/>
        </w:rPr>
        <w:t xml:space="preserve">In-use stock.</w:t>
      </w:r>
      <w:r>
        <w:t xml:space="preserve"> </w:t>
      </w:r>
      <w:r>
        <w:t xml:space="preserve">Platinum embedded in vehicles, industrial equipment, jewelry, medical devices, electronics, and other products that have not yet reached recycling.</w:t>
      </w:r>
    </w:p>
    <w:p>
      <w:pPr>
        <w:pStyle w:val="BodyText"/>
      </w:pPr>
      <w:r>
        <w:rPr>
          <w:b/>
          <w:bCs/>
        </w:rPr>
        <w:t xml:space="preserve">Lease rate.</w:t>
      </w:r>
      <w:r>
        <w:t xml:space="preserve"> </w:t>
      </w:r>
      <w:r>
        <w:t xml:space="preserve">The cost of borrowing platinum for a period. Lease rates can rise when immediately available metal is tight even if a published spot price appears orderly.</w:t>
      </w:r>
    </w:p>
    <w:p>
      <w:pPr>
        <w:pStyle w:val="BodyText"/>
      </w:pPr>
      <w:r>
        <w:rPr>
          <w:b/>
          <w:bCs/>
        </w:rPr>
        <w:t xml:space="preserve">Loco London.</w:t>
      </w:r>
      <w:r>
        <w:t xml:space="preserve"> </w:t>
      </w:r>
      <w:r>
        <w:t xml:space="preserve">Metal delivered or settled in London under market conventions. The LBMA Platinum Price refers to unallocated loco London platinum, not automatically to a retail coin, industrial powder, or scrap lot.</w:t>
      </w:r>
    </w:p>
    <w:p>
      <w:pPr>
        <w:pStyle w:val="BodyText"/>
      </w:pPr>
      <w:r>
        <w:rPr>
          <w:b/>
          <w:bCs/>
        </w:rPr>
        <w:t xml:space="preserve">Metal account.</w:t>
      </w:r>
      <w:r>
        <w:t xml:space="preserve"> </w:t>
      </w:r>
      <w:r>
        <w:t xml:space="preserve">An accounting system that records ounces or grams owned, borrowed, fabricated, consumed, recovered, or returned. It can separate metal ownership from processing services.</w:t>
      </w:r>
    </w:p>
    <w:p>
      <w:pPr>
        <w:pStyle w:val="BodyText"/>
      </w:pPr>
      <w:r>
        <w:rPr>
          <w:b/>
          <w:bCs/>
        </w:rPr>
        <w:t xml:space="preserve">Net demand.</w:t>
      </w:r>
      <w:r>
        <w:t xml:space="preserve"> </w:t>
      </w:r>
      <w:r>
        <w:t xml:space="preserve">Demand after defined recycling or disinvestment flows are deducted. Definitions vary, so readers should inspect the source methodology before comparing numbers.</w:t>
      </w:r>
    </w:p>
    <w:p>
      <w:pPr>
        <w:pStyle w:val="BodyText"/>
      </w:pPr>
      <w:r>
        <w:rPr>
          <w:b/>
          <w:bCs/>
        </w:rPr>
        <w:t xml:space="preserve">Payability.</w:t>
      </w:r>
      <w:r>
        <w:t xml:space="preserve"> </w:t>
      </w:r>
      <w:r>
        <w:t xml:space="preserve">The share of assayed contained metal credited to the seller. It can be expressed as a percentage or embedded through deductions and minimum charges.</w:t>
      </w:r>
    </w:p>
    <w:p>
      <w:pPr>
        <w:pStyle w:val="BodyText"/>
      </w:pPr>
      <w:r>
        <w:rPr>
          <w:b/>
          <w:bCs/>
        </w:rPr>
        <w:t xml:space="preserve">PEM.</w:t>
      </w:r>
      <w:r>
        <w:t xml:space="preserve"> </w:t>
      </w:r>
      <w:r>
        <w:t xml:space="preserve">Proton-exchange-membrane technology. PEM electrolysers use PGM catalysts, including platinum on the cathode, and PEM fuel cells use platinum catalysts to convert hydrogen and oxygen into electricity and water.</w:t>
      </w:r>
    </w:p>
    <w:p>
      <w:pPr>
        <w:pStyle w:val="BodyText"/>
      </w:pPr>
      <w:r>
        <w:rPr>
          <w:b/>
          <w:bCs/>
        </w:rPr>
        <w:t xml:space="preserve">PGM.</w:t>
      </w:r>
      <w:r>
        <w:t xml:space="preserve"> </w:t>
      </w:r>
      <w:r>
        <w:t xml:space="preserve">Platinum-group metal: platinum, palladium, rhodium, iridium, ruthenium, or osmium. Commercial ores, catalysts, and scrap often contain several PGMs.</w:t>
      </w:r>
    </w:p>
    <w:p>
      <w:pPr>
        <w:pStyle w:val="BodyText"/>
      </w:pPr>
      <w:r>
        <w:rPr>
          <w:b/>
          <w:bCs/>
        </w:rPr>
        <w:t xml:space="preserve">Platinum sponge.</w:t>
      </w:r>
      <w:r>
        <w:t xml:space="preserve"> </w:t>
      </w:r>
      <w:r>
        <w:t xml:space="preserve">A high-surface-area powder or porous form used as an industrial input. Its value includes purity, morphology, particle properties, packaging, and qualification, not only fine-metal content.</w:t>
      </w:r>
    </w:p>
    <w:p>
      <w:pPr>
        <w:pStyle w:val="BodyText"/>
      </w:pPr>
      <w:r>
        <w:rPr>
          <w:b/>
          <w:bCs/>
        </w:rPr>
        <w:t xml:space="preserve">Primary supply.</w:t>
      </w:r>
      <w:r>
        <w:t xml:space="preserve"> </w:t>
      </w:r>
      <w:r>
        <w:t xml:space="preserve">Platinum originating from mines in the period. It may include refined production and inventory adjustments depending on the statistical series.</w:t>
      </w:r>
    </w:p>
    <w:p>
      <w:pPr>
        <w:pStyle w:val="BodyText"/>
      </w:pPr>
      <w:r>
        <w:rPr>
          <w:b/>
          <w:bCs/>
        </w:rPr>
        <w:t xml:space="preserve">Provisional payment.</w:t>
      </w:r>
      <w:r>
        <w:t xml:space="preserve"> </w:t>
      </w:r>
      <w:r>
        <w:t xml:space="preserve">An initial payment based on estimated weight, assay, and reference price before final processing and settlement. The final invoice reconciles actual results and contract terms.</w:t>
      </w:r>
    </w:p>
    <w:p>
      <w:pPr>
        <w:pStyle w:val="BodyText"/>
      </w:pPr>
      <w:r>
        <w:rPr>
          <w:b/>
          <w:bCs/>
        </w:rPr>
        <w:t xml:space="preserve">Quotational period.</w:t>
      </w:r>
      <w:r>
        <w:t xml:space="preserve"> </w:t>
      </w:r>
      <w:r>
        <w:t xml:space="preserve">The date, day, month, or averaging window used to establish the benchmark price in a physical contract. A mismatch between delivery and quotational period creates price exposure.</w:t>
      </w:r>
    </w:p>
    <w:p>
      <w:pPr>
        <w:pStyle w:val="BodyText"/>
      </w:pPr>
      <w:r>
        <w:rPr>
          <w:b/>
          <w:bCs/>
        </w:rPr>
        <w:t xml:space="preserve">Recovery.</w:t>
      </w:r>
      <w:r>
        <w:t xml:space="preserve"> </w:t>
      </w:r>
      <w:r>
        <w:t xml:space="preserve">The share of contained platinum that reaches a saleable or creditable refined output. Recovery should be distinguished from collection: material not collected never reaches the refinery.</w:t>
      </w:r>
    </w:p>
    <w:p>
      <w:pPr>
        <w:pStyle w:val="BodyText"/>
      </w:pPr>
      <w:r>
        <w:rPr>
          <w:b/>
          <w:bCs/>
        </w:rPr>
        <w:t xml:space="preserve">Referee or umpire assay.</w:t>
      </w:r>
      <w:r>
        <w:t xml:space="preserve"> </w:t>
      </w:r>
      <w:r>
        <w:t xml:space="preserve">A contractually defined independent test used when buyer and seller assays differ beyond an allowed tolerance.</w:t>
      </w:r>
    </w:p>
    <w:p>
      <w:pPr>
        <w:pStyle w:val="BodyText"/>
      </w:pPr>
      <w:r>
        <w:rPr>
          <w:b/>
          <w:bCs/>
        </w:rPr>
        <w:t xml:space="preserve">Secondary supply.</w:t>
      </w:r>
      <w:r>
        <w:t xml:space="preserve"> </w:t>
      </w:r>
      <w:r>
        <w:t xml:space="preserve">Platinum recovered from autocatalysts, jewelry, industrial equipment, electronics, hydrogen systems, or other above-ground material. Statistical treatment of internal closed-loop flows varies.</w:t>
      </w:r>
    </w:p>
    <w:p>
      <w:pPr>
        <w:pStyle w:val="BodyText"/>
      </w:pPr>
      <w:r>
        <w:rPr>
          <w:b/>
          <w:bCs/>
        </w:rPr>
        <w:t xml:space="preserve">Settlement.</w:t>
      </w:r>
      <w:r>
        <w:t xml:space="preserve"> </w:t>
      </w:r>
      <w:r>
        <w:t xml:space="preserve">The final calculation and transfer of cash or metal after weight, assay, benchmark, payability, charges, and adjustments are agreed.</w:t>
      </w:r>
    </w:p>
    <w:p>
      <w:pPr>
        <w:pStyle w:val="BodyText"/>
      </w:pPr>
      <w:r>
        <w:rPr>
          <w:b/>
          <w:bCs/>
        </w:rPr>
        <w:t xml:space="preserve">Substitution.</w:t>
      </w:r>
      <w:r>
        <w:t xml:space="preserve"> </w:t>
      </w:r>
      <w:r>
        <w:t xml:space="preserve">Replacement of platinum with palladium, rhodium, base metals, non-PGM catalysts, another technology, or a different product design. Technical validation and life-cycle cost can limit substitution even when spot-price incentives are strong.</w:t>
      </w:r>
    </w:p>
    <w:p>
      <w:pPr>
        <w:pStyle w:val="BodyText"/>
      </w:pPr>
      <w:r>
        <w:rPr>
          <w:b/>
          <w:bCs/>
        </w:rPr>
        <w:t xml:space="preserve">Thrift.</w:t>
      </w:r>
      <w:r>
        <w:t xml:space="preserve"> </w:t>
      </w:r>
      <w:r>
        <w:t xml:space="preserve">Reduction in platinum required per vehicle, kilowatt, square meter, catalyst charge, or product while maintaining performance. Thrift can lower unit demand but enable wider adoption.</w:t>
      </w:r>
    </w:p>
    <w:p>
      <w:pPr>
        <w:pStyle w:val="BodyText"/>
      </w:pPr>
      <w:r>
        <w:rPr>
          <w:b/>
          <w:bCs/>
        </w:rPr>
        <w:t xml:space="preserve">Troy ounce.</w:t>
      </w:r>
      <w:r>
        <w:t xml:space="preserve"> </w:t>
      </w:r>
      <w:r>
        <w:t xml:space="preserve">The standard precious-metals unit, equal to 31.1034768 grams. It differs from the 28.3495-gram avoirdupois ounce used for ordinary goods.</w:t>
      </w:r>
    </w:p>
    <w:p>
      <w:pPr>
        <w:pStyle w:val="BodyText"/>
      </w:pPr>
      <w:r>
        <w:rPr>
          <w:b/>
          <w:bCs/>
        </w:rPr>
        <w:t xml:space="preserve">Unallocated metal.</w:t>
      </w:r>
      <w:r>
        <w:t xml:space="preserve"> </w:t>
      </w:r>
      <w:r>
        <w:t xml:space="preserve">A contractual claim on a quantity of metal rather than title to identified physical bars. It is efficient for wholesale settlement but creates counterparty and account-structure considerations.</w:t>
      </w:r>
    </w:p>
    <w:bookmarkEnd w:id="123"/>
    <w:bookmarkStart w:id="124" w:name="research-and-editorial-methodology"/>
    <w:p>
      <w:pPr>
        <w:pStyle w:val="Heading2"/>
      </w:pPr>
      <w:r>
        <w:t xml:space="preserve">Research and editorial methodology</w:t>
      </w:r>
    </w:p>
    <w:p>
      <w:pPr>
        <w:pStyle w:val="FirstParagraph"/>
      </w:pPr>
      <w:r>
        <w:t xml:space="preserve">This report combines a source-based 2026 market baseline with transparent scenario construction. The baseline is the WPIC</w:t>
      </w:r>
      <w:r>
        <w:t xml:space="preserve"> </w:t>
      </w:r>
      <w:r>
        <w:rPr>
          <w:i/>
          <w:iCs/>
        </w:rPr>
        <w:t xml:space="preserve">Platinum Quarterly Q1 2026</w:t>
      </w:r>
      <w:r>
        <w:t xml:space="preserve"> </w:t>
      </w:r>
      <w:r>
        <w:t xml:space="preserve">forecast prepared with Metals Focus: demand of 7.674 million ounces, mine supply of 5.551 million ounces, recycling of 1.826 million ounces, total supply of 7.377 million ounces, a 297,000-ounce deficit, and above-ground stocks of 1.747 million ounces (WPIC 2026a). The report does not treat that one-year balance as a mechanical forecast for the next twenty-five years.</w:t>
      </w:r>
    </w:p>
    <w:p>
      <w:pPr>
        <w:pStyle w:val="BodyText"/>
      </w:pPr>
      <w:r>
        <w:t xml:space="preserve">The three demand paths were built by separately considering automotive, hydrogen, other industrial, jewelry, and investment forces. The automotive paths reflect battery-electric adoption, hybrid persistence, non-road and heavy-duty markets, emissions standards, catalyst thrift, and platinum-palladium substitution. The hydrogen paths reflect PEM technology share, installed capacity, metal intensity, replacement, and recovery. Industrial and jewelry paths are treated as cyclical but structurally durable; investment remains a swing variable rather than a smooth growth curve.</w:t>
      </w:r>
    </w:p>
    <w:p>
      <w:pPr>
        <w:pStyle w:val="BodyText"/>
      </w:pPr>
      <w:r>
        <w:t xml:space="preserve">The demand scenario points are calculations for 2026, 2030, 2035, 2040, 2045, and 2051, with interpolation used only for the charts. The 2051 totals are 5.6 million ounces in the battery-dominance case, 7.7 million in the managed-transition case, and 10.5 million in the hydrogen-and-tight-supply case. Secondary shares are modeled separately, producing primary requirements of approximately 3.584 million, 5.005 million, and 7.140 million ounces respectively in 2051. These are refined-equivalent planning values, not mine guidance.</w:t>
      </w:r>
    </w:p>
    <w:p>
      <w:pPr>
        <w:pStyle w:val="BodyText"/>
      </w:pPr>
      <w:r>
        <w:t xml:space="preserve">Price bands are not outputs from a statistical regression and should not be read as confidence intervals. They are sustained real-price regimes consistent with the scenario’s demand pressure, mine response, recycling, substitution, inventory, and investment conditions. Prices are expressed in constant 2026 U.S. dollars per troy ounce. The nominal conversion example uses 2.5 percent annual inflation for illustration only:</w:t>
      </w:r>
      <w:r>
        <w:t xml:space="preserve"> </w:t>
      </w:r>
      <w:r>
        <w:rPr>
          <w:rStyle w:val="VerbatimChar"/>
        </w:rPr>
        <w:t xml:space="preserve">nominal 2051 price = real 2026-dollar price × 1.025^25</w:t>
      </w:r>
      <w:r>
        <w:t xml:space="preserve">, or approximately 1.854 times the real figure.</w:t>
      </w:r>
    </w:p>
    <w:p>
      <w:pPr>
        <w:pStyle w:val="BodyText"/>
      </w:pPr>
      <w:r>
        <w:t xml:space="preserve">Market mechanics were checked against official sources maintained by ICE Benchmark Administration, the LPPM, CME Group, Japan Exchange Group, and Guangzhou Futures Exchange. Product identity and consumer representation were checked against the FTC and the Electronic Code of Federal Regulations. Supply concentration and material criticality were checked against WPIC, USGS, the European Commission, producer reports, and peer-reviewed geology and supply-chain studies. Hydrogen and vehicle assumptions use the IEA and DOE rather than promotional project announcements alone.</w:t>
      </w:r>
    </w:p>
    <w:p>
      <w:pPr>
        <w:pStyle w:val="BodyText"/>
      </w:pPr>
      <w:r>
        <w:t xml:space="preserve">Current institutional rules and forecasts were reviewed on August 24, 2026. Dynamic prices were not embedded in the manuscript because a static article cannot lawfully or accurately substitute for a licensed, timestamped market feed. The article should be updated annually and after any material change to the demand baseline, mine pipeline, benchmark administration, exchange specifications, recycling law, or hydrogen deployment outlook. Each update should preserve the prior version and identify which assumptions changed.</w:t>
      </w:r>
    </w:p>
    <w:p>
      <w:pPr>
        <w:pStyle w:val="BodyText"/>
      </w:pPr>
      <w:r>
        <w:t xml:space="preserve">The principal limitations are unavoidable: investment flows are volatile; PGM basket economics obscure the response of platinum mine supply; private inventories are imperfectly measured; product loadings are commercially sensitive; project pipelines include delays and cancellations; and technology can create or destroy demand faster than a twenty-five-year model can foresee. The report therefore presents decision ranges, signposts, and contract practices rather than a guaranteed path.</w:t>
      </w:r>
    </w:p>
    <w:bookmarkEnd w:id="124"/>
    <w:bookmarkStart w:id="125" w:name="bibliography"/>
    <w:p>
      <w:pPr>
        <w:pStyle w:val="Heading2"/>
      </w:pPr>
      <w:r>
        <w:t xml:space="preserve">Bibliography</w:t>
      </w:r>
    </w:p>
    <w:p>
      <w:pPr>
        <w:pStyle w:val="FirstParagraph"/>
      </w:pPr>
      <w:r>
        <w:t xml:space="preserve">Arnold, Mona, Elina Pohjalainen, Sören Steger, Wolfgang Kaerger, and Jan Henk Welink. 2021.</w:t>
      </w:r>
      <w:r>
        <w:t xml:space="preserve"> </w:t>
      </w:r>
      <w:r>
        <w:t xml:space="preserve">“</w:t>
      </w:r>
      <w:r>
        <w:t xml:space="preserve">Economic Viability of Extracting High Value Metals from End of Life Vehicles.</w:t>
      </w:r>
      <w:r>
        <w:t xml:space="preserve">”</w:t>
      </w:r>
      <w:r>
        <w:t xml:space="preserve"> </w:t>
      </w:r>
      <w:r>
        <w:rPr>
          <w:i/>
          <w:iCs/>
        </w:rPr>
        <w:t xml:space="preserve">Sustainability</w:t>
      </w:r>
      <w:r>
        <w:t xml:space="preserve"> </w:t>
      </w:r>
      <w:r>
        <w:t xml:space="preserve">13 (4): 1902. https://doi.org/10.3390/su13041902.</w:t>
      </w:r>
    </w:p>
    <w:p>
      <w:pPr>
        <w:pStyle w:val="BodyText"/>
      </w:pPr>
      <w:r>
        <w:t xml:space="preserve">CME Group. 2026.</w:t>
      </w:r>
      <w:r>
        <w:t xml:space="preserve"> </w:t>
      </w:r>
      <w:r>
        <w:t xml:space="preserve">“</w:t>
      </w:r>
      <w:r>
        <w:t xml:space="preserve">Platinum Futures: Chapter 105 and Contract Specifications.</w:t>
      </w:r>
      <w:r>
        <w:t xml:space="preserve">”</w:t>
      </w:r>
      <w:r>
        <w:t xml:space="preserve"> </w:t>
      </w:r>
      <w:r>
        <w:t xml:space="preserve">Accessed August 24, 2026. https://www.cmegroup.com/markets/metals/precious/platinum.contractSpecs.html.</w:t>
      </w:r>
    </w:p>
    <w:p>
      <w:pPr>
        <w:pStyle w:val="BodyText"/>
      </w:pPr>
      <w:r>
        <w:t xml:space="preserve">Electronic Code of Federal Regulations. 2026.</w:t>
      </w:r>
      <w:r>
        <w:t xml:space="preserve"> </w:t>
      </w:r>
      <w:r>
        <w:t xml:space="preserve">“</w:t>
      </w:r>
      <w:r>
        <w:t xml:space="preserve">16 CFR Part 23: Guides for the Jewelry, Precious Metals, and Pewter Industries.</w:t>
      </w:r>
      <w:r>
        <w:t xml:space="preserve">”</w:t>
      </w:r>
      <w:r>
        <w:t xml:space="preserve"> </w:t>
      </w:r>
      <w:r>
        <w:t xml:space="preserve">Accessed August 24, 2026. https://www.ecfr.gov/current/title-16/chapter-I/subchapter-B/part-23.</w:t>
      </w:r>
    </w:p>
    <w:p>
      <w:pPr>
        <w:pStyle w:val="BodyText"/>
      </w:pPr>
      <w:r>
        <w:t xml:space="preserve">European Commission. 2026.</w:t>
      </w:r>
      <w:r>
        <w:t xml:space="preserve"> </w:t>
      </w:r>
      <w:r>
        <w:t xml:space="preserve">“</w:t>
      </w:r>
      <w:r>
        <w:t xml:space="preserve">Critical Raw Materials.</w:t>
      </w:r>
      <w:r>
        <w:t xml:space="preserve">”</w:t>
      </w:r>
      <w:r>
        <w:t xml:space="preserve"> </w:t>
      </w:r>
      <w:r>
        <w:t xml:space="preserve">Accessed August 24, 2026. https://single-market-economy.ec.europa.eu/sectors/raw-materials/areas-specific-interest/critical-raw-materials_en.</w:t>
      </w:r>
    </w:p>
    <w:p>
      <w:pPr>
        <w:pStyle w:val="BodyText"/>
      </w:pPr>
      <w:r>
        <w:t xml:space="preserve">European Union. 2024a.</w:t>
      </w:r>
      <w:r>
        <w:t xml:space="preserve"> </w:t>
      </w:r>
      <w:r>
        <w:t xml:space="preserve">“</w:t>
      </w:r>
      <w:r>
        <w:t xml:space="preserve">Regulation (EU) 2024/1252 Establishing a Framework for Ensuring a Secure and Sustainable Supply of Critical Raw Materials.</w:t>
      </w:r>
      <w:r>
        <w:t xml:space="preserve">”</w:t>
      </w:r>
      <w:r>
        <w:t xml:space="preserve"> </w:t>
      </w:r>
      <w:r>
        <w:rPr>
          <w:i/>
          <w:iCs/>
        </w:rPr>
        <w:t xml:space="preserve">Official Journal of the European Union</w:t>
      </w:r>
      <w:r>
        <w:t xml:space="preserve">, May 3, 2024. https://eur-lex.europa.eu/eli/reg/2024/1252/oj.</w:t>
      </w:r>
    </w:p>
    <w:p>
      <w:pPr>
        <w:pStyle w:val="BodyText"/>
      </w:pPr>
      <w:r>
        <w:t xml:space="preserve">European Union. 2024b.</w:t>
      </w:r>
      <w:r>
        <w:t xml:space="preserve"> </w:t>
      </w:r>
      <w:r>
        <w:t xml:space="preserve">“</w:t>
      </w:r>
      <w:r>
        <w:t xml:space="preserve">Regulation (EU) 2024/1257 on Type-Approval of Motor Vehicles and Engines and of Systems, Components and Separate Technical Units Intended for Such Vehicles, with Respect to Their Emissions and Battery Durability (Euro 7).</w:t>
      </w:r>
      <w:r>
        <w:t xml:space="preserve">”</w:t>
      </w:r>
      <w:r>
        <w:t xml:space="preserve"> </w:t>
      </w:r>
      <w:r>
        <w:rPr>
          <w:i/>
          <w:iCs/>
        </w:rPr>
        <w:t xml:space="preserve">Official Journal of the European Union</w:t>
      </w:r>
      <w:r>
        <w:t xml:space="preserve">, May 8, 2024. https://eur-lex.europa.eu/eli/reg/2024/1257/oj.</w:t>
      </w:r>
    </w:p>
    <w:p>
      <w:pPr>
        <w:pStyle w:val="BodyText"/>
      </w:pPr>
      <w:r>
        <w:t xml:space="preserve">European Union. 2026.</w:t>
      </w:r>
      <w:r>
        <w:t xml:space="preserve"> </w:t>
      </w:r>
      <w:r>
        <w:t xml:space="preserve">“</w:t>
      </w:r>
      <w:r>
        <w:t xml:space="preserve">Regulation (EU) 2026/1738 on Circularity Requirements for Vehicle Design and on Management of End-of-Life Vehicles.</w:t>
      </w:r>
      <w:r>
        <w:t xml:space="preserve">”</w:t>
      </w:r>
      <w:r>
        <w:t xml:space="preserve"> </w:t>
      </w:r>
      <w:r>
        <w:rPr>
          <w:i/>
          <w:iCs/>
        </w:rPr>
        <w:t xml:space="preserve">Official Journal of the European Union</w:t>
      </w:r>
      <w:r>
        <w:t xml:space="preserve">. https://eur-lex.europa.eu/eli/reg/2026/1738/oj.</w:t>
      </w:r>
    </w:p>
    <w:p>
      <w:pPr>
        <w:pStyle w:val="BodyText"/>
      </w:pPr>
      <w:r>
        <w:t xml:space="preserve">Federal Trade Commission. 2010.</w:t>
      </w:r>
      <w:r>
        <w:t xml:space="preserve"> </w:t>
      </w:r>
      <w:r>
        <w:t xml:space="preserve">“</w:t>
      </w:r>
      <w:r>
        <w:t xml:space="preserve">Advertising Platinum Jewelry.</w:t>
      </w:r>
      <w:r>
        <w:t xml:space="preserve">”</w:t>
      </w:r>
      <w:r>
        <w:t xml:space="preserve"> </w:t>
      </w:r>
      <w:r>
        <w:t xml:space="preserve">December 13, 2010. https://www.ftc.gov/business-guidance/resources/advertising-platinum-jewelry.</w:t>
      </w:r>
    </w:p>
    <w:p>
      <w:pPr>
        <w:pStyle w:val="BodyText"/>
      </w:pPr>
      <w:r>
        <w:t xml:space="preserve">Grilli, Maria Luisa, Anca Elena Slobozeanu, Claudio Larosa, Daniela Paneva, Iakovos Yakoumis, and Zara Cherkezova-Zheleva. 2023.</w:t>
      </w:r>
      <w:r>
        <w:t xml:space="preserve"> </w:t>
      </w:r>
      <w:r>
        <w:t xml:space="preserve">“</w:t>
      </w:r>
      <w:r>
        <w:t xml:space="preserve">Platinum Group Metals: Green Recovery from Spent Auto-Catalysts and Reuse in New Catalysts—A Review.</w:t>
      </w:r>
      <w:r>
        <w:t xml:space="preserve">”</w:t>
      </w:r>
      <w:r>
        <w:t xml:space="preserve"> </w:t>
      </w:r>
      <w:r>
        <w:rPr>
          <w:i/>
          <w:iCs/>
        </w:rPr>
        <w:t xml:space="preserve">Crystals</w:t>
      </w:r>
      <w:r>
        <w:t xml:space="preserve"> </w:t>
      </w:r>
      <w:r>
        <w:t xml:space="preserve">13 (4): 550. https://doi.org/10.3390/cryst13040550.</w:t>
      </w:r>
    </w:p>
    <w:p>
      <w:pPr>
        <w:pStyle w:val="BodyText"/>
      </w:pPr>
      <w:r>
        <w:t xml:space="preserve">Guangzhou Futures Exchange. 2025.</w:t>
      </w:r>
      <w:r>
        <w:t xml:space="preserve"> </w:t>
      </w:r>
      <w:r>
        <w:t xml:space="preserve">“</w:t>
      </w:r>
      <w:r>
        <w:t xml:space="preserve">Circular on Releasing Contract Specifications and Rules on Platinum Futures and Platinum Options.</w:t>
      </w:r>
      <w:r>
        <w:t xml:space="preserve">”</w:t>
      </w:r>
      <w:r>
        <w:t xml:space="preserve"> </w:t>
      </w:r>
      <w:r>
        <w:t xml:space="preserve">November 7, 2025. https://www.gfex.com.cn/en/Notices/202601/f845f70f8cbe4134897b974534df8de1.shtml.</w:t>
      </w:r>
    </w:p>
    <w:p>
      <w:pPr>
        <w:pStyle w:val="BodyText"/>
      </w:pPr>
      <w:r>
        <w:t xml:space="preserve">Hagelüken, Christian. 2012.</w:t>
      </w:r>
      <w:r>
        <w:t xml:space="preserve"> </w:t>
      </w:r>
      <w:r>
        <w:t xml:space="preserve">“</w:t>
      </w:r>
      <w:r>
        <w:t xml:space="preserve">Recycling the Platinum Group Metals: A European Perspective.</w:t>
      </w:r>
      <w:r>
        <w:t xml:space="preserve">”</w:t>
      </w:r>
      <w:r>
        <w:t xml:space="preserve"> </w:t>
      </w:r>
      <w:r>
        <w:rPr>
          <w:i/>
          <w:iCs/>
        </w:rPr>
        <w:t xml:space="preserve">Platinum Metals Review</w:t>
      </w:r>
      <w:r>
        <w:t xml:space="preserve"> </w:t>
      </w:r>
      <w:r>
        <w:t xml:space="preserve">56 (1): 29-35. https://doi.org/10.1595/147106712X611733.</w:t>
      </w:r>
    </w:p>
    <w:p>
      <w:pPr>
        <w:pStyle w:val="BodyText"/>
      </w:pPr>
      <w:r>
        <w:t xml:space="preserve">Hughes, Anthony E., Nawshad Haque, Stephen A. Northey, and Sarbjit Giddey. 2021.</w:t>
      </w:r>
      <w:r>
        <w:t xml:space="preserve"> </w:t>
      </w:r>
      <w:r>
        <w:t xml:space="preserve">“</w:t>
      </w:r>
      <w:r>
        <w:t xml:space="preserve">Platinum Group Metals: A Review of Resources, Production and Usage with a Focus on Catalysts.</w:t>
      </w:r>
      <w:r>
        <w:t xml:space="preserve">”</w:t>
      </w:r>
      <w:r>
        <w:t xml:space="preserve"> </w:t>
      </w:r>
      <w:r>
        <w:rPr>
          <w:i/>
          <w:iCs/>
        </w:rPr>
        <w:t xml:space="preserve">Resources</w:t>
      </w:r>
      <w:r>
        <w:t xml:space="preserve"> </w:t>
      </w:r>
      <w:r>
        <w:t xml:space="preserve">10 (9): 93. https://doi.org/10.3390/resources10090093.</w:t>
      </w:r>
    </w:p>
    <w:p>
      <w:pPr>
        <w:pStyle w:val="BodyText"/>
      </w:pPr>
      <w:r>
        <w:t xml:space="preserve">ICE Benchmark Administration. 2026.</w:t>
      </w:r>
      <w:r>
        <w:t xml:space="preserve"> </w:t>
      </w:r>
      <w:r>
        <w:t xml:space="preserve">“</w:t>
      </w:r>
      <w:r>
        <w:t xml:space="preserve">LBMA Precious Metals.</w:t>
      </w:r>
      <w:r>
        <w:t xml:space="preserve">”</w:t>
      </w:r>
      <w:r>
        <w:t xml:space="preserve"> </w:t>
      </w:r>
      <w:r>
        <w:t xml:space="preserve">Accessed August 24, 2026. https://www.ice.com/iba/lbma-precious-metals.</w:t>
      </w:r>
    </w:p>
    <w:p>
      <w:pPr>
        <w:pStyle w:val="BodyText"/>
      </w:pPr>
      <w:r>
        <w:t xml:space="preserve">Impala Platinum Holdings. 2026.</w:t>
      </w:r>
      <w:r>
        <w:t xml:space="preserve"> </w:t>
      </w:r>
      <w:r>
        <w:t xml:space="preserve">“</w:t>
      </w:r>
      <w:r>
        <w:t xml:space="preserve">Interim Results for the Six Months Ended 31 December 2025.</w:t>
      </w:r>
      <w:r>
        <w:t xml:space="preserve">”</w:t>
      </w:r>
      <w:r>
        <w:t xml:space="preserve"> </w:t>
      </w:r>
      <w:r>
        <w:t xml:space="preserve">March 5, 2026. https://www.implats.co.za/investor-overview.php.</w:t>
      </w:r>
    </w:p>
    <w:p>
      <w:pPr>
        <w:pStyle w:val="BodyText"/>
      </w:pPr>
      <w:r>
        <w:t xml:space="preserve">International Energy Agency. 2026a.</w:t>
      </w:r>
      <w:r>
        <w:t xml:space="preserve"> </w:t>
      </w:r>
      <w:r>
        <w:rPr>
          <w:i/>
          <w:iCs/>
        </w:rPr>
        <w:t xml:space="preserve">Global EV Outlook 2026</w:t>
      </w:r>
      <w:r>
        <w:t xml:space="preserve">. Paris: IEA. https://www.iea.org/reports/global-ev-outlook-2026.</w:t>
      </w:r>
    </w:p>
    <w:p>
      <w:pPr>
        <w:pStyle w:val="BodyText"/>
      </w:pPr>
      <w:r>
        <w:t xml:space="preserve">International Energy Agency. 2026b.</w:t>
      </w:r>
      <w:r>
        <w:t xml:space="preserve"> </w:t>
      </w:r>
      <w:r>
        <w:rPr>
          <w:i/>
          <w:iCs/>
        </w:rPr>
        <w:t xml:space="preserve">Global Hydrogen Review 2026</w:t>
      </w:r>
      <w:r>
        <w:t xml:space="preserve">. Paris: IEA. https://www.iea.org/reports/global-hydrogen-review-2026.</w:t>
      </w:r>
    </w:p>
    <w:p>
      <w:pPr>
        <w:pStyle w:val="BodyText"/>
      </w:pPr>
      <w:r>
        <w:t xml:space="preserve">Ivanhoe Mines. 2026.</w:t>
      </w:r>
      <w:r>
        <w:t xml:space="preserve"> </w:t>
      </w:r>
      <w:r>
        <w:t xml:space="preserve">“</w:t>
      </w:r>
      <w:r>
        <w:t xml:space="preserve">Ivanhoe Mines Announces Update on Platreef, the World’s Largest Precious Metals Mine under Development.</w:t>
      </w:r>
      <w:r>
        <w:t xml:space="preserve">”</w:t>
      </w:r>
      <w:r>
        <w:t xml:space="preserve"> </w:t>
      </w:r>
      <w:r>
        <w:t xml:space="preserve">https://www.ivanhoemines.com/news-stories/news-release/ivanhoe-mines-announces-update-on-platreef-the-worlds-largest-precious-metals-mine-under-development/.</w:t>
      </w:r>
    </w:p>
    <w:p>
      <w:pPr>
        <w:pStyle w:val="BodyText"/>
      </w:pPr>
      <w:r>
        <w:t xml:space="preserve">Japan Exchange Group. 2026.</w:t>
      </w:r>
      <w:r>
        <w:t xml:space="preserve"> </w:t>
      </w:r>
      <w:r>
        <w:t xml:space="preserve">“</w:t>
      </w:r>
      <w:r>
        <w:t xml:space="preserve">Platinum Standard Futures: Contract Specifications.</w:t>
      </w:r>
      <w:r>
        <w:t xml:space="preserve">”</w:t>
      </w:r>
      <w:r>
        <w:t xml:space="preserve"> </w:t>
      </w:r>
      <w:r>
        <w:t xml:space="preserve">Accessed August 24, 2026. https://www.jpx.co.jp/english/derivatives/products/precious-metals/platinum-standard-futures/01.html.</w:t>
      </w:r>
    </w:p>
    <w:p>
      <w:pPr>
        <w:pStyle w:val="BodyText"/>
      </w:pPr>
      <w:r>
        <w:t xml:space="preserve">Li, Pengyuan, Qunyi Liu, Ping Zhou, and Ying Li. 2023.</w:t>
      </w:r>
      <w:r>
        <w:t xml:space="preserve"> </w:t>
      </w:r>
      <w:r>
        <w:t xml:space="preserve">“</w:t>
      </w:r>
      <w:r>
        <w:t xml:space="preserve">Mapping Global Platinum Supply Chain and Assessing Potential Supply Risks.</w:t>
      </w:r>
      <w:r>
        <w:t xml:space="preserve">”</w:t>
      </w:r>
      <w:r>
        <w:t xml:space="preserve"> </w:t>
      </w:r>
      <w:r>
        <w:rPr>
          <w:i/>
          <w:iCs/>
        </w:rPr>
        <w:t xml:space="preserve">Frontiers in Energy Research</w:t>
      </w:r>
      <w:r>
        <w:t xml:space="preserve"> </w:t>
      </w:r>
      <w:r>
        <w:t xml:space="preserve">11: 1033220. https://doi.org/10.3389/fenrg.2023.1033220.</w:t>
      </w:r>
    </w:p>
    <w:p>
      <w:pPr>
        <w:pStyle w:val="BodyText"/>
      </w:pPr>
      <w:r>
        <w:t xml:space="preserve">London Platinum and Palladium Market. 2026a.</w:t>
      </w:r>
      <w:r>
        <w:t xml:space="preserve"> </w:t>
      </w:r>
      <w:r>
        <w:t xml:space="preserve">“</w:t>
      </w:r>
      <w:r>
        <w:t xml:space="preserve">LBMA Platinum and Palladium Price Actions.</w:t>
      </w:r>
      <w:r>
        <w:t xml:space="preserve">”</w:t>
      </w:r>
      <w:r>
        <w:t xml:space="preserve"> </w:t>
      </w:r>
      <w:r>
        <w:t xml:space="preserve">June 24, 2026. https://www.lppm.com/news/lbma-platinum-and-palladium-price-actions_2097.html.</w:t>
      </w:r>
    </w:p>
    <w:p>
      <w:pPr>
        <w:pStyle w:val="BodyText"/>
      </w:pPr>
      <w:r>
        <w:t xml:space="preserve">London Platinum and Palladium Market. 2026b.</w:t>
      </w:r>
      <w:r>
        <w:t xml:space="preserve"> </w:t>
      </w:r>
      <w:r>
        <w:t xml:space="preserve">“</w:t>
      </w:r>
      <w:r>
        <w:t xml:space="preserve">The Market: Platinum and Palladium Market Practices.</w:t>
      </w:r>
      <w:r>
        <w:t xml:space="preserve">”</w:t>
      </w:r>
      <w:r>
        <w:t xml:space="preserve"> </w:t>
      </w:r>
      <w:r>
        <w:t xml:space="preserve">Accessed August 24, 2026. https://www.lppm.com/market-practices.</w:t>
      </w:r>
    </w:p>
    <w:p>
      <w:pPr>
        <w:pStyle w:val="BodyText"/>
      </w:pPr>
      <w:r>
        <w:t xml:space="preserve">London Platinum and Palladium Market. 2026c.</w:t>
      </w:r>
      <w:r>
        <w:t xml:space="preserve"> </w:t>
      </w:r>
      <w:r>
        <w:t xml:space="preserve">“</w:t>
      </w:r>
      <w:r>
        <w:t xml:space="preserve">LPPM Good Delivery Rules.</w:t>
      </w:r>
      <w:r>
        <w:t xml:space="preserve">”</w:t>
      </w:r>
      <w:r>
        <w:t xml:space="preserve"> </w:t>
      </w:r>
      <w:r>
        <w:t xml:space="preserve">Accessed August 24, 2026. https://www.lppm.com/good-delivery/good-delivery-rules.</w:t>
      </w:r>
    </w:p>
    <w:p>
      <w:pPr>
        <w:pStyle w:val="BodyText"/>
      </w:pPr>
      <w:r>
        <w:t xml:space="preserve">London Platinum and Palladium Market. 2026d.</w:t>
      </w:r>
      <w:r>
        <w:t xml:space="preserve"> </w:t>
      </w:r>
      <w:r>
        <w:t xml:space="preserve">“</w:t>
      </w:r>
      <w:r>
        <w:t xml:space="preserve">The LPPM Platinum and Palladium Responsible Sourcing Programme.</w:t>
      </w:r>
      <w:r>
        <w:t xml:space="preserve">”</w:t>
      </w:r>
      <w:r>
        <w:t xml:space="preserve"> </w:t>
      </w:r>
      <w:r>
        <w:t xml:space="preserve">Accessed August 24, 2026. https://www.lppm.com/news/the-lppm-platinum-and-palladium-responsible-sourcing-programme_453.html.</w:t>
      </w:r>
    </w:p>
    <w:p>
      <w:pPr>
        <w:pStyle w:val="BodyText"/>
      </w:pPr>
      <w:r>
        <w:t xml:space="preserve">Mudd, Gavin M., Simon M. Jowitt, and Timothy T. Werner. 2018.</w:t>
      </w:r>
      <w:r>
        <w:t xml:space="preserve"> </w:t>
      </w:r>
      <w:r>
        <w:t xml:space="preserve">“</w:t>
      </w:r>
      <w:r>
        <w:t xml:space="preserve">Global Platinum Group Element Resources, Reserves and Mining: A Critical Assessment.</w:t>
      </w:r>
      <w:r>
        <w:t xml:space="preserve">”</w:t>
      </w:r>
      <w:r>
        <w:t xml:space="preserve"> </w:t>
      </w:r>
      <w:r>
        <w:rPr>
          <w:i/>
          <w:iCs/>
        </w:rPr>
        <w:t xml:space="preserve">Science of the Total Environment</w:t>
      </w:r>
      <w:r>
        <w:t xml:space="preserve"> </w:t>
      </w:r>
      <w:r>
        <w:t xml:space="preserve">622-623: 614-625. https://doi.org/10.1016/j.scitotenv.2017.11.350.</w:t>
      </w:r>
    </w:p>
    <w:p>
      <w:pPr>
        <w:pStyle w:val="BodyText"/>
      </w:pPr>
      <w:r>
        <w:t xml:space="preserve">Platinum Guild International. 2026.</w:t>
      </w:r>
      <w:r>
        <w:t xml:space="preserve"> </w:t>
      </w:r>
      <w:r>
        <w:t xml:space="preserve">“</w:t>
      </w:r>
      <w:r>
        <w:t xml:space="preserve">About Us.</w:t>
      </w:r>
      <w:r>
        <w:t xml:space="preserve">”</w:t>
      </w:r>
      <w:r>
        <w:t xml:space="preserve"> </w:t>
      </w:r>
      <w:r>
        <w:t xml:space="preserve">Accessed August 24, 2026. https://platinumguild.com/about-us/.</w:t>
      </w:r>
    </w:p>
    <w:p>
      <w:pPr>
        <w:pStyle w:val="BodyText"/>
      </w:pPr>
      <w:r>
        <w:t xml:space="preserve">Rasmussen, Kasper Dalgas, Henrik Wenzel, Colton Bangs, Evi Petavratzi, and Gang Liu. 2019.</w:t>
      </w:r>
      <w:r>
        <w:t xml:space="preserve"> </w:t>
      </w:r>
      <w:r>
        <w:t xml:space="preserve">“</w:t>
      </w:r>
      <w:r>
        <w:t xml:space="preserve">Platinum Demand and Potential Bottlenecks in the Global Green Transition: A Dynamic Material Flow Analysis.</w:t>
      </w:r>
      <w:r>
        <w:t xml:space="preserve">”</w:t>
      </w:r>
      <w:r>
        <w:t xml:space="preserve"> </w:t>
      </w:r>
      <w:r>
        <w:rPr>
          <w:i/>
          <w:iCs/>
        </w:rPr>
        <w:t xml:space="preserve">Environmental Science &amp; Technology</w:t>
      </w:r>
      <w:r>
        <w:t xml:space="preserve"> </w:t>
      </w:r>
      <w:r>
        <w:t xml:space="preserve">53 (19): 11541-11551. https://doi.org/10.1021/acs.est.9b01912.</w:t>
      </w:r>
    </w:p>
    <w:p>
      <w:pPr>
        <w:pStyle w:val="BodyText"/>
      </w:pPr>
      <w:r>
        <w:t xml:space="preserve">Saurat, Mathieu, and Stefan Bringezu. 2008.</w:t>
      </w:r>
      <w:r>
        <w:t xml:space="preserve"> </w:t>
      </w:r>
      <w:r>
        <w:t xml:space="preserve">“</w:t>
      </w:r>
      <w:r>
        <w:t xml:space="preserve">Platinum Group Metal Flows of Europe, Part 1: Global Supply, Use in Industry, and Shifting of Environmental Impacts.</w:t>
      </w:r>
      <w:r>
        <w:t xml:space="preserve">”</w:t>
      </w:r>
      <w:r>
        <w:t xml:space="preserve"> </w:t>
      </w:r>
      <w:r>
        <w:rPr>
          <w:i/>
          <w:iCs/>
        </w:rPr>
        <w:t xml:space="preserve">Journal of Industrial Ecology</w:t>
      </w:r>
      <w:r>
        <w:t xml:space="preserve"> </w:t>
      </w:r>
      <w:r>
        <w:t xml:space="preserve">12 (5-6): 754-767. https://doi.org/10.1111/j.1530-9290.2008.00087.x.</w:t>
      </w:r>
    </w:p>
    <w:p>
      <w:pPr>
        <w:pStyle w:val="BodyText"/>
      </w:pPr>
      <w:r>
        <w:t xml:space="preserve">Sibanye-Stillwater. 2026.</w:t>
      </w:r>
      <w:r>
        <w:t xml:space="preserve"> </w:t>
      </w:r>
      <w:r>
        <w:t xml:space="preserve">“</w:t>
      </w:r>
      <w:r>
        <w:t xml:space="preserve">2025 Integrated Reporting Suite.</w:t>
      </w:r>
      <w:r>
        <w:t xml:space="preserve">”</w:t>
      </w:r>
      <w:r>
        <w:t xml:space="preserve"> </w:t>
      </w:r>
      <w:r>
        <w:t xml:space="preserve">Accessed August 24, 2026. https://www.sibanyestillwater.com/news-investors/reports/annual/2025/.</w:t>
      </w:r>
    </w:p>
    <w:p>
      <w:pPr>
        <w:pStyle w:val="BodyText"/>
      </w:pPr>
      <w:r>
        <w:t xml:space="preserve">Tharisa plc. 2025.</w:t>
      </w:r>
      <w:r>
        <w:t xml:space="preserve"> </w:t>
      </w:r>
      <w:r>
        <w:rPr>
          <w:i/>
          <w:iCs/>
        </w:rPr>
        <w:t xml:space="preserve">Integrated Annual Report 2025</w:t>
      </w:r>
      <w:r>
        <w:t xml:space="preserve">. https://www.tharisa.com/annual-reports.php.</w:t>
      </w:r>
    </w:p>
    <w:p>
      <w:pPr>
        <w:pStyle w:val="BodyText"/>
      </w:pPr>
      <w:r>
        <w:t xml:space="preserve">Tharisa plc. 2026.</w:t>
      </w:r>
      <w:r>
        <w:t xml:space="preserve"> </w:t>
      </w:r>
      <w:r>
        <w:rPr>
          <w:i/>
          <w:iCs/>
        </w:rPr>
        <w:t xml:space="preserve">Interim Results for the Six Months Ended 31 March 2026</w:t>
      </w:r>
      <w:r>
        <w:t xml:space="preserve">. https://www.tharisa.com/pdf/investors/interim-results/2026/booklet.pdf.</w:t>
      </w:r>
    </w:p>
    <w:p>
      <w:pPr>
        <w:pStyle w:val="BodyText"/>
      </w:pPr>
      <w:r>
        <w:t xml:space="preserve">United States Department of Energy. 2026a.</w:t>
      </w:r>
      <w:r>
        <w:t xml:space="preserve"> </w:t>
      </w:r>
      <w:r>
        <w:t xml:space="preserve">“</w:t>
      </w:r>
      <w:r>
        <w:t xml:space="preserve">Technical Targets for Proton Exchange Membrane Electrolysis.</w:t>
      </w:r>
      <w:r>
        <w:t xml:space="preserve">”</w:t>
      </w:r>
      <w:r>
        <w:t xml:space="preserve"> </w:t>
      </w:r>
      <w:r>
        <w:t xml:space="preserve">Accessed August 24, 2026. https://www.energy.gov/cmei/fuels/technical-targets-proton-exchange-membrane-electrolysis.</w:t>
      </w:r>
    </w:p>
    <w:p>
      <w:pPr>
        <w:pStyle w:val="BodyText"/>
      </w:pPr>
      <w:r>
        <w:t xml:space="preserve">United States Department of Energy. 2026b.</w:t>
      </w:r>
      <w:r>
        <w:t xml:space="preserve"> </w:t>
      </w:r>
      <w:r>
        <w:t xml:space="preserve">“</w:t>
      </w:r>
      <w:r>
        <w:t xml:space="preserve">DOE Technical Targets for Polymer Electrolyte Membrane Fuel Cell Components.</w:t>
      </w:r>
      <w:r>
        <w:t xml:space="preserve">”</w:t>
      </w:r>
      <w:r>
        <w:t xml:space="preserve"> </w:t>
      </w:r>
      <w:r>
        <w:t xml:space="preserve">Accessed August 24, 2026. https://www.energy.gov/cmei/fuels/doe-technical-targets-polymer-electrolyte-membrane-fuel-cell-components.</w:t>
      </w:r>
    </w:p>
    <w:p>
      <w:pPr>
        <w:pStyle w:val="BodyText"/>
      </w:pPr>
      <w:r>
        <w:t xml:space="preserve">United States Environmental Protection Agency. 2022.</w:t>
      </w:r>
      <w:r>
        <w:t xml:space="preserve"> </w:t>
      </w:r>
      <w:r>
        <w:t xml:space="preserve">“</w:t>
      </w:r>
      <w:r>
        <w:t xml:space="preserve">Final Rule and Related Materials for Control of Air Pollution from New Motor Vehicles: Heavy-Duty Engine and Vehicle Standards.</w:t>
      </w:r>
      <w:r>
        <w:t xml:space="preserve">”</w:t>
      </w:r>
      <w:r>
        <w:t xml:space="preserve"> </w:t>
      </w:r>
      <w:r>
        <w:t xml:space="preserve">December 20, 2022. https://www.epa.gov/regulations-emissions-vehicles-and-engines/final-rule-and-related-materials-control-air-pollution.</w:t>
      </w:r>
    </w:p>
    <w:p>
      <w:pPr>
        <w:pStyle w:val="BodyText"/>
      </w:pPr>
      <w:r>
        <w:t xml:space="preserve">United States Environmental Protection Agency. 2026.</w:t>
      </w:r>
      <w:r>
        <w:t xml:space="preserve"> </w:t>
      </w:r>
      <w:r>
        <w:t xml:space="preserve">“</w:t>
      </w:r>
      <w:r>
        <w:t xml:space="preserve">Final Rule: Rescission of the Greenhouse Gas Endangerment Finding and Motor Vehicle Greenhouse Gas Emission Standards under the Clean Air Act.</w:t>
      </w:r>
      <w:r>
        <w:t xml:space="preserve">”</w:t>
      </w:r>
      <w:r>
        <w:t xml:space="preserve"> </w:t>
      </w:r>
      <w:r>
        <w:t xml:space="preserve">February 12, 2026. https://www.epa.gov/regulations-emissions-vehicles-and-engines/final-rule-rescission-greenhouse-gas-endangerment.</w:t>
      </w:r>
    </w:p>
    <w:p>
      <w:pPr>
        <w:pStyle w:val="BodyText"/>
      </w:pPr>
      <w:r>
        <w:t xml:space="preserve">United States Geological Survey. 2014.</w:t>
      </w:r>
      <w:r>
        <w:t xml:space="preserve"> </w:t>
      </w:r>
      <w:r>
        <w:rPr>
          <w:i/>
          <w:iCs/>
        </w:rPr>
        <w:t xml:space="preserve">Platinum-Group Elements: So Many Excellent Properties</w:t>
      </w:r>
      <w:r>
        <w:t xml:space="preserve">. Fact Sheet 2014-3064. https://pubs.usgs.gov/fs/2014/3064/.</w:t>
      </w:r>
    </w:p>
    <w:p>
      <w:pPr>
        <w:pStyle w:val="BodyText"/>
      </w:pPr>
      <w:r>
        <w:t xml:space="preserve">United States Geological Survey. 2025.</w:t>
      </w:r>
      <w:r>
        <w:t xml:space="preserve"> </w:t>
      </w:r>
      <w:r>
        <w:t xml:space="preserve">“</w:t>
      </w:r>
      <w:r>
        <w:t xml:space="preserve">About the 2025 List of Critical Minerals.</w:t>
      </w:r>
      <w:r>
        <w:t xml:space="preserve">”</w:t>
      </w:r>
      <w:r>
        <w:t xml:space="preserve"> </w:t>
      </w:r>
      <w:r>
        <w:t xml:space="preserve">Accessed August 24, 2026. https://www.usgs.gov/programs/mineral-resources-program/science/about-2025-list-critical-minerals.</w:t>
      </w:r>
    </w:p>
    <w:p>
      <w:pPr>
        <w:pStyle w:val="BodyText"/>
      </w:pPr>
      <w:r>
        <w:t xml:space="preserve">United States Geological Survey. 2026a.</w:t>
      </w:r>
      <w:r>
        <w:t xml:space="preserve"> </w:t>
      </w:r>
      <w:r>
        <w:t xml:space="preserve">“</w:t>
      </w:r>
      <w:r>
        <w:t xml:space="preserve">Platinum-Group Metals Statistics and Information.</w:t>
      </w:r>
      <w:r>
        <w:t xml:space="preserve">”</w:t>
      </w:r>
      <w:r>
        <w:t xml:space="preserve"> </w:t>
      </w:r>
      <w:r>
        <w:t xml:space="preserve">Accessed August 24, 2026. https://www.usgs.gov/centers/national-minerals-information-center/platinum-group-metals-statistics-and-information.</w:t>
      </w:r>
    </w:p>
    <w:p>
      <w:pPr>
        <w:pStyle w:val="BodyText"/>
      </w:pPr>
      <w:r>
        <w:t xml:space="preserve">United States Geological Survey. 2026b.</w:t>
      </w:r>
      <w:r>
        <w:t xml:space="preserve"> </w:t>
      </w:r>
      <w:r>
        <w:rPr>
          <w:i/>
          <w:iCs/>
        </w:rPr>
        <w:t xml:space="preserve">Mineral Commodity Summaries 2026</w:t>
      </w:r>
      <w:r>
        <w:t xml:space="preserve">. Reston, VA: U.S. Geological Survey. https://doi.org/10.3133/mcs2026.</w:t>
      </w:r>
    </w:p>
    <w:p>
      <w:pPr>
        <w:pStyle w:val="BodyText"/>
      </w:pPr>
      <w:r>
        <w:t xml:space="preserve">U.S. Securities and Exchange Commission. 2025.</w:t>
      </w:r>
      <w:r>
        <w:t xml:space="preserve"> </w:t>
      </w:r>
      <w:r>
        <w:t xml:space="preserve">“</w:t>
      </w:r>
      <w:r>
        <w:t xml:space="preserve">abrdn Physical Platinum Shares ETF, Annual Report on Form 10-K for the Year Ended December 31, 2024.</w:t>
      </w:r>
      <w:r>
        <w:t xml:space="preserve">”</w:t>
      </w:r>
      <w:r>
        <w:t xml:space="preserve"> </w:t>
      </w:r>
      <w:r>
        <w:t xml:space="preserve">https://www.sec.gov/Archives/edgar/data/1460235/000183988225012448/pplt-10k_123124.htm.</w:t>
      </w:r>
    </w:p>
    <w:p>
      <w:pPr>
        <w:pStyle w:val="BodyText"/>
      </w:pPr>
      <w:r>
        <w:t xml:space="preserve">Valterra Platinum. 2026.</w:t>
      </w:r>
      <w:r>
        <w:t xml:space="preserve"> </w:t>
      </w:r>
      <w:r>
        <w:t xml:space="preserve">“</w:t>
      </w:r>
      <w:r>
        <w:t xml:space="preserve">Interim Results for the Six Months Ended 30 June 2026.</w:t>
      </w:r>
      <w:r>
        <w:t xml:space="preserve">”</w:t>
      </w:r>
      <w:r>
        <w:t xml:space="preserve"> </w:t>
      </w:r>
      <w:r>
        <w:t xml:space="preserve">Accessed August 24, 2026. https://www.valterraplatinum.com/investors/results-reports-and-presentations.</w:t>
      </w:r>
    </w:p>
    <w:p>
      <w:pPr>
        <w:pStyle w:val="BodyText"/>
      </w:pPr>
      <w:r>
        <w:t xml:space="preserve">World Platinum Investment Council. 2026a.</w:t>
      </w:r>
      <w:r>
        <w:t xml:space="preserve"> </w:t>
      </w:r>
      <w:r>
        <w:rPr>
          <w:i/>
          <w:iCs/>
        </w:rPr>
        <w:t xml:space="preserve">Platinum Quarterly Q1 2026</w:t>
      </w:r>
      <w:r>
        <w:t xml:space="preserve">. May 18, 2026. https://platinuminvestment.com/files/634916/WPIC_Platinum_Quarterly_Q1_2026.pdf.</w:t>
      </w:r>
    </w:p>
    <w:p>
      <w:pPr>
        <w:pStyle w:val="BodyText"/>
      </w:pPr>
      <w:r>
        <w:t xml:space="preserve">World Platinum Investment Council. 2026b.</w:t>
      </w:r>
      <w:r>
        <w:t xml:space="preserve"> </w:t>
      </w:r>
      <w:r>
        <w:t xml:space="preserve">“</w:t>
      </w:r>
      <w:r>
        <w:t xml:space="preserve">2 to 5 Year View: Supply and Demand.</w:t>
      </w:r>
      <w:r>
        <w:t xml:space="preserve">”</w:t>
      </w:r>
      <w:r>
        <w:t xml:space="preserve"> </w:t>
      </w:r>
      <w:r>
        <w:t xml:space="preserve">Accessed August 24, 2026. https://platinuminvestment.com/supply-and-demand/2-to-5-year-view.</w:t>
      </w:r>
    </w:p>
    <w:p>
      <w:pPr>
        <w:pStyle w:val="BodyText"/>
      </w:pPr>
      <w:r>
        <w:t xml:space="preserve">World Platinum Investment Council. 2026c.</w:t>
      </w:r>
      <w:r>
        <w:t xml:space="preserve"> </w:t>
      </w:r>
      <w:r>
        <w:t xml:space="preserve">“</w:t>
      </w:r>
      <w:r>
        <w:t xml:space="preserve">Platinum Diverse Drivers of Demand.</w:t>
      </w:r>
      <w:r>
        <w:t xml:space="preserve">”</w:t>
      </w:r>
      <w:r>
        <w:t xml:space="preserve"> </w:t>
      </w:r>
      <w:r>
        <w:t xml:space="preserve">Accessed August 24, 2026. https://platinuminvestment.com/about/demand-drivers.</w:t>
      </w:r>
    </w:p>
    <w:bookmarkEnd w:id="125"/>
    <w:bookmarkEnd w:id="126"/>
    <w:sectPr>
      <w:headerReference r:id="rId9" w:type="default"/>
      <w:footerReference r:id="rId10" w:type="default"/>
      <w:footerReference r:id="rId11" w:type="first"/>
      <w:footerReference r:id="rId12" w:type="even"/>
      <w:pgSz w:h="15840" w:w="12240"/>
      <w:pgMar w:bottom="835" w:footer="317" w:header="317" w:left="994" w:right="994" w:top="86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Noto Sans"/>
        <w:color w:val="666666"/>
        <w:sz w:val="12"/>
      </w:rPr>
      <w:t xml:space="preserve">Page </w:t>
    </w:r>
    <w:r>
      <w:rPr>
        <w:rFonts w:ascii="Noto Sans" w:hAnsi="Noto Sans" w:eastAsia="Noto Sans" w:cs="Noto Sans"/>
        <w:color w:val="666666"/>
        <w:sz w:val="12"/>
      </w:rPr>
      <w:fldChar w:fldCharType="begin"/>
      <w:instrText xml:space="preserve"> PAGE </w:instrText>
      <w:fldChar w:fldCharType="end"/>
    </w:r>
    <w:r>
      <w:rPr>
        <w:rFonts w:ascii="Noto Sans" w:hAnsi="Noto Sans" w:eastAsia="Noto Sans" w:cs="Noto Sans"/>
        <w:color w:val="666666"/>
        <w:sz w:val="12"/>
      </w:rPr>
      <w:t xml:space="preserve">    •    Platinum Market Outlook 2026-2051</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Noto Sans" w:hAnsi="Noto Sans" w:eastAsia="Noto Sans" w:cs="Noto Sans"/>
        <w:b/>
        <w:color w:val="666666"/>
        <w:sz w:val="12"/>
      </w:rPr>
      <w:t>ALLMETALPRICES.COM    |    RESEARCH LIBRARY</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widowControl/>
      <w:spacing w:after="52" w:line="241" w:lineRule="auto" w:before="0"/>
    </w:pPr>
    <w:rPr>
      <w:rFonts w:ascii="Noto Serif" w:cs="Noto Serif" w:eastAsia="Noto Serif" w:hAnsi="Noto Serif"/>
      <w:color w:val="252525"/>
      <w:sz w:val="17"/>
      <w:lang w:val="en-US"/>
    </w:rPr>
  </w:style>
  <w:style w:styleId="BodyText" w:type="paragraph">
    <w:name w:val="Body Text"/>
    <w:basedOn w:val="Normal"/>
    <w:link w:val="BodyTextChar"/>
    <w:qFormat/>
    <w:pPr>
      <w:widowControl/>
      <w:spacing w:after="52" w:before="135" w:line="241" w:lineRule="auto"/>
    </w:pPr>
    <w:rPr>
      <w:rFonts w:ascii="Noto Serif" w:cs="Noto Serif" w:eastAsia="Noto Serif" w:hAnsi="Noto Serif"/>
      <w:color w:val="252525"/>
      <w:sz w:val="17"/>
      <w:lang w:val="en-US"/>
    </w:rPr>
  </w:style>
  <w:style w:customStyle="1" w:styleId="FirstParagraph" w:type="paragraph">
    <w:name w:val="First Paragraph"/>
    <w:basedOn w:val="BodyText"/>
    <w:next w:val="BodyText"/>
    <w:qFormat/>
    <w:pPr>
      <w:widowControl/>
      <w:spacing w:after="52" w:line="241" w:lineRule="auto" w:before="0"/>
    </w:pPr>
    <w:rPr>
      <w:rFonts w:ascii="Noto Serif" w:cs="Noto Serif" w:eastAsia="Noto Serif" w:hAnsi="Noto Serif"/>
      <w:color w:val="252525"/>
      <w:sz w:val="17"/>
      <w:lang w:val="en-US"/>
    </w:rPr>
  </w:style>
  <w:style w:customStyle="1" w:styleId="Compact" w:type="paragraph">
    <w:name w:val="Compact"/>
    <w:basedOn w:val="BodyText"/>
    <w:qFormat/>
    <w:pPr>
      <w:spacing w:after="22" w:before="32" w:line="241" w:lineRule="auto"/>
    </w:pPr>
    <w:rPr>
      <w:rFonts w:ascii="Noto Serif" w:cs="Noto Serif" w:eastAsia="Noto Serif" w:hAnsi="Noto Serif"/>
      <w:color w:val="252525"/>
      <w:sz w:val="17"/>
      <w:lang w:val="en-US"/>
    </w:r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102" w:before="0"/>
      <w:outlineLvl w:val="0"/>
    </w:pPr>
    <w:rPr>
      <w:rFonts w:ascii="Noto Sans" w:asciiTheme="majorHAnsi" w:cs="Noto Sans" w:cstheme="majorBidi" w:eastAsia="Noto Sans" w:eastAsiaTheme="majorEastAsia" w:hAnsi="Noto Sans" w:hAnsiTheme="majorHAnsi"/>
      <w:b/>
      <w:bCs/>
      <w:color w:val="653017"/>
      <w:sz w:val="48"/>
      <w:szCs w:val="32"/>
      <w:lang w:val="en-US"/>
    </w:rPr>
  </w:style>
  <w:style w:styleId="Heading2" w:type="paragraph">
    <w:name w:val="Heading 2"/>
    <w:basedOn w:val="Normal"/>
    <w:next w:val="BodyText"/>
    <w:uiPriority w:val="9"/>
    <w:unhideWhenUsed/>
    <w:qFormat/>
    <w:pPr>
      <w:keepNext/>
      <w:keepLines/>
      <w:spacing w:after="60" w:before="142"/>
      <w:outlineLvl w:val="1"/>
    </w:pPr>
    <w:rPr>
      <w:rFonts w:ascii="Noto Sans" w:asciiTheme="majorHAnsi" w:cs="Noto Sans" w:cstheme="majorBidi" w:eastAsia="Noto Sans" w:eastAsiaTheme="majorEastAsia" w:hAnsi="Noto Sans" w:hAnsiTheme="majorHAnsi"/>
      <w:b/>
      <w:bCs/>
      <w:color w:val="653017"/>
      <w:sz w:val="25"/>
      <w:szCs w:val="28"/>
      <w:lang w:val="en-US"/>
    </w:rPr>
  </w:style>
  <w:style w:styleId="Heading3" w:type="paragraph">
    <w:name w:val="Heading 3"/>
    <w:basedOn w:val="Normal"/>
    <w:next w:val="BodyText"/>
    <w:uiPriority w:val="9"/>
    <w:unhideWhenUsed/>
    <w:qFormat/>
    <w:pPr>
      <w:keepNext/>
      <w:keepLines/>
      <w:spacing w:after="31" w:before="87"/>
      <w:outlineLvl w:val="2"/>
    </w:pPr>
    <w:rPr>
      <w:rFonts w:ascii="Noto Sans" w:asciiTheme="majorHAnsi" w:cs="Noto Sans" w:cstheme="majorBidi" w:eastAsia="Noto Sans" w:eastAsiaTheme="majorEastAsia" w:hAnsi="Noto Sans" w:hAnsiTheme="majorHAnsi"/>
      <w:b/>
      <w:bCs/>
      <w:color w:val="9B4A24"/>
      <w:sz w:val="20"/>
      <w:szCs w:val="24"/>
      <w:lang w:val="en-US"/>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78" w:before="65" w:line="241" w:lineRule="auto"/>
      <w:ind w:firstLine="0" w:left="360" w:right="173"/>
    </w:pPr>
    <w:rPr>
      <w:rFonts w:ascii="Noto Serif" w:cs="Noto Serif" w:eastAsia="Noto Serif" w:hAnsi="Noto Serif"/>
      <w:i/>
      <w:color w:val="653017"/>
      <w:sz w:val="17"/>
      <w:lang w:val="en-US"/>
    </w:r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44" w:before="12" w:line="228" w:lineRule="auto"/>
    </w:pPr>
    <w:rPr>
      <w:rFonts w:ascii="Noto Serif" w:hAnsi="Noto Serif" w:eastAsia="Noto Serif"/>
      <w:i/>
      <w:sz w:val="15"/>
    </w:rPr>
  </w:style>
  <w:style w:customStyle="1" w:styleId="TableCaption" w:type="paragraph">
    <w:name w:val="Table Caption"/>
    <w:basedOn w:val="Caption"/>
    <w:pPr>
      <w:keepNext/>
    </w:pPr>
  </w:style>
  <w:style w:customStyle="1" w:styleId="ImageCaption" w:type="paragraph">
    <w:name w:val="Image Caption"/>
    <w:basedOn w:val="Caption"/>
    <w:pPr>
      <w:spacing w:before="12" w:after="44" w:line="228" w:lineRule="auto"/>
    </w:pPr>
    <w:rPr>
      <w:rFonts w:ascii="Noto Serif" w:hAnsi="Noto Serif" w:eastAsia="Noto Serif"/>
      <w:i/>
      <w:sz w:val="15"/>
    </w:rPr>
  </w:style>
  <w:style w:customStyle="1" w:styleId="Figure" w:type="paragraph">
    <w:name w:val="Figure"/>
    <w:basedOn w:val="Normal"/>
  </w:style>
  <w:style w:customStyle="1" w:styleId="CaptionedFigure" w:type="paragraph">
    <w:name w:val="Captioned Figure"/>
    <w:basedOn w:val="Figure"/>
    <w:pPr>
      <w:keepNext/>
      <w:spacing w:before="12" w:after="44" w:line="228" w:lineRule="auto"/>
    </w:pPr>
    <w:rPr>
      <w:rFonts w:ascii="Noto Serif" w:hAnsi="Noto Serif" w:eastAsia="Noto Serif"/>
      <w:i w:val="0"/>
      <w:sz w:val="15"/>
    </w:r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rFonts w:ascii="Noto Sans" w:cs="Noto Sans" w:eastAsia="Noto Sans" w:hAnsi="Noto Sans"/>
      <w:color w:val="653017"/>
      <w:sz w:val="18"/>
      <w:u w:val="single"/>
      <w:lang w:val="en-US"/>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SourceCode" w:type="paragraph">
    <w:name w:val="Source Code"/>
    <w:basedOn w:val="Normal"/>
    <w:link w:val="VerbatimChar"/>
    <w:pPr>
      <w:wordWrap w:val="off"/>
    </w:p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81" Type="http://schemas.openxmlformats.org/officeDocument/2006/relationships/image" Target="media/rId81.png"/><Relationship Id="rId87" Type="http://schemas.openxmlformats.org/officeDocument/2006/relationships/image" Target="media/rId87.png"/><Relationship Id="rId60" Type="http://schemas.openxmlformats.org/officeDocument/2006/relationships/image" Target="media/rId6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Buying and Selling Platinum: A 25-Year Market Outlook, 2026-2051</dc:title>
  <dc:creator>All Metal Prices Research Desk</dc:creator>
  <cp:keywords>platinum market outlook 2050, platinum price forecast 2050, platinum demand, platinum supply, hydrogen platinum demand, platinum recycling</cp:keywords>
  <dcterms:created xsi:type="dcterms:W3CDTF">2026-08-24T00:29:38Z</dcterms:created>
  <dcterms:modified xsi:type="dcterms:W3CDTF">2026-08-24T00:29:38Z</dcterms:modified>
  <dc:subject>Platinum price, supply, demand, recycling, hydrogen, contracts, and market scenarios through 2051</dc:subject>
  <dc:description>Prepared for AllMetalPrices.com; published and last reviewed August 24, 2026.</dc:descript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nonical_url">
    <vt:lpwstr>https://allmetalprices.com/platinum-market-outlook-2026-2051/</vt:lpwstr>
  </property>
  <property fmtid="{D5CDD505-2E9C-101B-9397-08002B2CF9AE}" pid="3" name="date_modified">
    <vt:lpwstr>2026-08-24</vt:lpwstr>
  </property>
  <property fmtid="{D5CDD505-2E9C-101B-9397-08002B2CF9AE}" pid="4" name="date_published">
    <vt:lpwstr>2026-08-24</vt:lpwstr>
  </property>
  <property fmtid="{D5CDD505-2E9C-101B-9397-08002B2CF9AE}" pid="5" name="forecast_end">
    <vt:lpwstr>2051-08-24</vt:lpwstr>
  </property>
  <property fmtid="{D5CDD505-2E9C-101B-9397-08002B2CF9AE}" pid="6" name="forecast_start">
    <vt:lpwstr>2026-08-24</vt:lpwstr>
  </property>
  <property fmtid="{D5CDD505-2E9C-101B-9397-08002B2CF9AE}" pid="7" name="meta_description">
    <vt:lpwstr>A cited 25-year platinum outlook covering auto demand, hydrogen, mine supply, recycling, price scenarios, contracts, and strategy through 2051.</vt:lpwstr>
  </property>
  <property fmtid="{D5CDD505-2E9C-101B-9397-08002B2CF9AE}" pid="8" name="primary_query">
    <vt:lpwstr>platinum market outlook 2050</vt:lpwstr>
  </property>
  <property fmtid="{D5CDD505-2E9C-101B-9397-08002B2CF9AE}" pid="9" name="publisher">
    <vt:lpwstr>All Metal Prices</vt:lpwstr>
  </property>
  <property fmtid="{D5CDD505-2E9C-101B-9397-08002B2CF9AE}" pid="10" name="seo_title">
    <vt:lpwstr>Platinum Market Outlook 2026-2051: Price, Supply &amp; Demand</vt:lpwstr>
  </property>
  <property fmtid="{D5CDD505-2E9C-101B-9397-08002B2CF9AE}" pid="11" name="slug">
    <vt:lpwstr>/platinum-market-outlook-2026-2051/</vt:lpwstr>
  </property>
  <property fmtid="{D5CDD505-2E9C-101B-9397-08002B2CF9AE}" pid="12" name="supporting_queries">
    <vt:lpwstr/>
  </property>
</Properties>
</file>